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r>
        <w:rPr>
          <w:color w:val="000000"/>
          <w:sz w:val="24"/>
        </w:rPr>
        <mc:AlternateContent>
          <mc:Choice Requires="wps">
            <w:drawing>
              <wp:anchor distT="0" distB="0" distL="114935" distR="114935" simplePos="0" relativeHeight="251661312" behindDoc="0" locked="1" layoutInCell="1" allowOverlap="1">
                <wp:simplePos x="0" y="0"/>
                <wp:positionH relativeFrom="margin">
                  <wp:posOffset>-257810</wp:posOffset>
                </wp:positionH>
                <wp:positionV relativeFrom="margin">
                  <wp:posOffset>657860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3"/>
                            </w:pPr>
                            <w:r>
                              <w:rPr>
                                <w:rFonts w:hint="eastAsia"/>
                              </w:rPr>
                              <w:t>团体标准</w:t>
                            </w:r>
                          </w:p>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0.3pt;margin-top:51.8pt;height:30.8pt;width:481.9pt;mso-position-horizontal-relative:margin;mso-position-vertical-relative:margin;z-index:251661312;mso-width-relative:page;mso-height-relative:page;" fillcolor="#FFFFFF" filled="t" stroked="f" coordsize="21600,21600" o:gfxdata="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lK2QAAAAsBAAAPAAAAAAAAAAEA&#10;IAAAACIAAABkcnMvZG93bnJldi54bWxQSwECFAAUAAAACACHTuJAz2YuqA4CAAArBAAADgAAAAAA&#10;AAABACAAAAAoAQAAZHJzL2Uyb0RvYy54bWxQSwUGAAAAAAYABgBZAQAAqAUAAAAA&#10;">
                <v:fill on="t" focussize="0,0"/>
                <v:stroke on="f"/>
                <v:imagedata o:title=""/>
                <o:lock v:ext="edit" aspectratio="f"/>
                <v:textbox inset="0mm,0mm,0mm,0mm">
                  <w:txbxContent>
                    <w:p>
                      <w:pPr>
                        <w:pStyle w:val="43"/>
                      </w:pPr>
                      <w:r>
                        <w:rPr>
                          <w:rFonts w:hint="eastAsia"/>
                        </w:rPr>
                        <w:t>团体标准</w:t>
                      </w:r>
                    </w:p>
                    <w:p/>
                  </w:txbxContent>
                </v:textbox>
                <w10:anchorlock/>
              </v:shape>
            </w:pict>
          </mc:Fallback>
        </mc:AlternateContent>
      </w:r>
    </w:p>
    <w:p/>
    <w:p/>
    <w:p/>
    <w:p>
      <w:r>
        <w:rPr>
          <w:color w:val="000000"/>
          <w:sz w:val="24"/>
        </w:rPr>
        <mc:AlternateContent>
          <mc:Choice Requires="wps">
            <w:drawing>
              <wp:anchor distT="0" distB="0" distL="114300" distR="114300" simplePos="0" relativeHeight="251662336" behindDoc="0" locked="1" layoutInCell="1" allowOverlap="1">
                <wp:simplePos x="0" y="0"/>
                <wp:positionH relativeFrom="margin">
                  <wp:posOffset>-242570</wp:posOffset>
                </wp:positionH>
                <wp:positionV relativeFrom="margin">
                  <wp:posOffset>1119505</wp:posOffset>
                </wp:positionV>
                <wp:extent cx="5913755" cy="361950"/>
                <wp:effectExtent l="0" t="0" r="10795" b="0"/>
                <wp:wrapNone/>
                <wp:docPr id="15" name="fmFrame3"/>
                <wp:cNvGraphicFramePr/>
                <a:graphic xmlns:a="http://schemas.openxmlformats.org/drawingml/2006/main">
                  <a:graphicData uri="http://schemas.microsoft.com/office/word/2010/wordprocessingShape">
                    <wps:wsp>
                      <wps:cNvSpPr txBox="1">
                        <a:spLocks noChangeArrowheads="1"/>
                      </wps:cNvSpPr>
                      <wps:spPr bwMode="auto">
                        <a:xfrm>
                          <a:off x="0" y="0"/>
                          <a:ext cx="5913755" cy="361950"/>
                        </a:xfrm>
                        <a:prstGeom prst="rect">
                          <a:avLst/>
                        </a:prstGeom>
                        <a:solidFill>
                          <a:srgbClr val="FFFFFF"/>
                        </a:solidFill>
                        <a:ln>
                          <a:noFill/>
                        </a:ln>
                      </wps:spPr>
                      <wps:txbx>
                        <w:txbxContent>
                          <w:p>
                            <w:pPr>
                              <w:widowControl/>
                              <w:jc w:val="right"/>
                            </w:pPr>
                            <w:r>
                              <w:rPr>
                                <w:rFonts w:ascii="黑体" w:hAnsi="宋体" w:eastAsia="黑体" w:cs="黑体"/>
                                <w:color w:val="000000"/>
                                <w:kern w:val="0"/>
                                <w:sz w:val="28"/>
                                <w:szCs w:val="28"/>
                                <w:lang w:bidi="ar"/>
                              </w:rPr>
                              <w:t>T/CGAPA XXX —202</w:t>
                            </w:r>
                            <w:r>
                              <w:rPr>
                                <w:rFonts w:hint="eastAsia" w:ascii="黑体" w:hAnsi="宋体" w:eastAsia="黑体" w:cs="黑体"/>
                                <w:color w:val="000000"/>
                                <w:kern w:val="0"/>
                                <w:sz w:val="28"/>
                                <w:szCs w:val="28"/>
                                <w:lang w:bidi="ar"/>
                              </w:rPr>
                              <w:t>3</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9.1pt;margin-top:88.15pt;height:28.5pt;width:465.65pt;mso-position-horizontal-relative:margin;mso-position-vertical-relative:margin;z-index:251662336;mso-width-relative:page;mso-height-relative:page;" fillcolor="#FFFFFF" filled="t" stroked="f" coordsize="21600,21600" o:gfxdata="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0XC+2gAAAAsBAAAPAAAAAAAA&#10;AAEAIAAAACIAAABkcnMvZG93bnJldi54bWxQSwECFAAUAAAACACHTuJAxVDmfRACAAAsBAAADgAA&#10;AAAAAAABACAAAAApAQAAZHJzL2Uyb0RvYy54bWxQSwUGAAAAAAYABgBZAQAAqwUAAAAA&#10;">
                <v:fill on="t" focussize="0,0"/>
                <v:stroke on="f"/>
                <v:imagedata o:title=""/>
                <o:lock v:ext="edit" aspectratio="f"/>
                <v:textbox inset="0mm,0mm,0mm,0mm">
                  <w:txbxContent>
                    <w:p>
                      <w:pPr>
                        <w:widowControl/>
                        <w:jc w:val="right"/>
                      </w:pPr>
                      <w:r>
                        <w:rPr>
                          <w:rFonts w:ascii="黑体" w:hAnsi="宋体" w:eastAsia="黑体" w:cs="黑体"/>
                          <w:color w:val="000000"/>
                          <w:kern w:val="0"/>
                          <w:sz w:val="28"/>
                          <w:szCs w:val="28"/>
                          <w:lang w:bidi="ar"/>
                        </w:rPr>
                        <w:t>T/CGAPA XXX —202</w:t>
                      </w:r>
                      <w:r>
                        <w:rPr>
                          <w:rFonts w:hint="eastAsia" w:ascii="黑体" w:hAnsi="宋体" w:eastAsia="黑体" w:cs="黑体"/>
                          <w:color w:val="000000"/>
                          <w:kern w:val="0"/>
                          <w:sz w:val="28"/>
                          <w:szCs w:val="28"/>
                          <w:lang w:bidi="ar"/>
                        </w:rPr>
                        <w:t>3</w:t>
                      </w:r>
                    </w:p>
                  </w:txbxContent>
                </v:textbox>
                <w10:anchorlock/>
              </v:shape>
            </w:pict>
          </mc:Fallback>
        </mc:AlternateContent>
      </w:r>
      <w:r>
        <w:rPr>
          <w:color w:val="000000"/>
          <w:sz w:val="24"/>
        </w:rPr>
        <mc:AlternateContent>
          <mc:Choice Requires="wps">
            <w:drawing>
              <wp:anchor distT="0" distB="0" distL="114935" distR="114935" simplePos="0" relativeHeight="251659264" behindDoc="0" locked="0" layoutInCell="1" allowOverlap="1">
                <wp:simplePos x="0" y="0"/>
                <wp:positionH relativeFrom="column">
                  <wp:posOffset>-360045</wp:posOffset>
                </wp:positionH>
                <wp:positionV relativeFrom="paragraph">
                  <wp:posOffset>138430</wp:posOffset>
                </wp:positionV>
                <wp:extent cx="6121400" cy="0"/>
                <wp:effectExtent l="0" t="0" r="0" b="0"/>
                <wp:wrapNone/>
                <wp:docPr id="16"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3" o:spid="_x0000_s1026" o:spt="20" style="position:absolute;left:0pt;margin-left:-28.35pt;margin-top:10.9pt;height:0pt;width:482pt;z-index:251659264;mso-width-relative:page;mso-height-relative:page;" filled="f" stroked="t" coordsize="21600,21600" o:gfxdata="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fVIyvYAAAACQEAAA8AAAAAAAAAAQAg&#10;AAAAIgAAAGRycy9kb3ducmV2LnhtbFBLAQIUABQAAAAIAIdO4kAxCVlc1QEAAKMDAAAOAAAAAAAA&#10;AAEAIAAAACcBAABkcnMvZTJvRG9jLnhtbFBLBQYAAAAABgAGAFkBAABuBQAAAAA=&#10;">
                <v:fill on="f" focussize="0,0"/>
                <v:stroke weight="1pt" color="#000000" joinstyle="round"/>
                <v:imagedata o:title=""/>
                <o:lock v:ext="edit" aspectratio="f"/>
              </v:line>
            </w:pict>
          </mc:Fallback>
        </mc:AlternateContent>
      </w:r>
    </w:p>
    <w:p/>
    <w:p/>
    <w:p/>
    <w:p/>
    <w:p>
      <w:pPr>
        <w:jc w:val="center"/>
        <w:rPr>
          <w:rFonts w:eastAsia="黑体"/>
        </w:rPr>
      </w:pPr>
      <w:r>
        <w:rPr>
          <w:rFonts w:ascii="黑体" w:hAnsi="宋体" w:eastAsia="黑体" w:cs="黑体"/>
          <w:color w:val="000000"/>
          <w:kern w:val="0"/>
          <w:sz w:val="52"/>
          <w:szCs w:val="52"/>
          <w:lang w:bidi="ar"/>
        </w:rPr>
        <w:t>优质农</w:t>
      </w:r>
      <w:r>
        <w:rPr>
          <w:rFonts w:hint="eastAsia" w:ascii="黑体" w:hAnsi="宋体" w:eastAsia="黑体" w:cs="黑体"/>
          <w:color w:val="000000"/>
          <w:kern w:val="0"/>
          <w:sz w:val="52"/>
          <w:szCs w:val="52"/>
          <w:lang w:bidi="ar"/>
        </w:rPr>
        <w:t>食</w:t>
      </w:r>
      <w:r>
        <w:rPr>
          <w:rFonts w:ascii="黑体" w:hAnsi="宋体" w:eastAsia="黑体" w:cs="黑体"/>
          <w:color w:val="000000"/>
          <w:kern w:val="0"/>
          <w:sz w:val="52"/>
          <w:szCs w:val="52"/>
          <w:lang w:bidi="ar"/>
        </w:rPr>
        <w:t>产品</w:t>
      </w:r>
      <w:r>
        <w:rPr>
          <w:rFonts w:hint="eastAsia" w:ascii="黑体" w:hAnsi="宋体" w:eastAsia="黑体" w:cs="黑体"/>
          <w:color w:val="000000"/>
          <w:kern w:val="0"/>
          <w:sz w:val="52"/>
          <w:szCs w:val="52"/>
          <w:lang w:bidi="ar"/>
        </w:rPr>
        <w:t>评价规范</w:t>
      </w:r>
    </w:p>
    <w:p>
      <w:bookmarkStart w:id="11" w:name="_GoBack"/>
      <w:bookmarkEnd w:id="11"/>
    </w:p>
    <w:p>
      <w:pPr>
        <w:jc w:val="center"/>
        <w:rPr>
          <w:sz w:val="36"/>
        </w:rPr>
      </w:pPr>
      <w:r>
        <w:rPr>
          <w:rFonts w:hint="eastAsia"/>
          <w:sz w:val="36"/>
          <w:lang w:eastAsia="zh-CN"/>
        </w:rPr>
        <w:t>（</w:t>
      </w:r>
      <w:r>
        <w:rPr>
          <w:rFonts w:hint="eastAsia"/>
          <w:sz w:val="36"/>
          <w:lang w:val="en-US" w:eastAsia="zh-CN"/>
        </w:rPr>
        <w:t>征求意见稿）</w:t>
      </w:r>
    </w:p>
    <w:p/>
    <w:p/>
    <w:p/>
    <w:p/>
    <w:p/>
    <w:p/>
    <w:p/>
    <w:p/>
    <w:p/>
    <w:p/>
    <w:p/>
    <w:p/>
    <w:p/>
    <w:p/>
    <w:p/>
    <w:p/>
    <w:p/>
    <w:p>
      <w:pPr>
        <w:widowControl/>
        <w:ind w:left="1440" w:hanging="1440" w:hangingChars="600"/>
        <w:jc w:val="left"/>
      </w:pPr>
      <w:r>
        <w:rPr>
          <w:color w:val="000000"/>
          <w:sz w:val="24"/>
        </w:rPr>
        <mc:AlternateContent>
          <mc:Choice Requires="wps">
            <w:drawing>
              <wp:anchor distT="0" distB="0" distL="114935" distR="114935" simplePos="0" relativeHeight="251660288" behindDoc="0" locked="0" layoutInCell="1" allowOverlap="1">
                <wp:simplePos x="0" y="0"/>
                <wp:positionH relativeFrom="column">
                  <wp:posOffset>-252095</wp:posOffset>
                </wp:positionH>
                <wp:positionV relativeFrom="paragraph">
                  <wp:posOffset>440690</wp:posOffset>
                </wp:positionV>
                <wp:extent cx="6121400" cy="0"/>
                <wp:effectExtent l="0" t="0" r="0" b="0"/>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3" o:spid="_x0000_s1026" o:spt="20" style="position:absolute;left:0pt;margin-left:-19.85pt;margin-top:34.7pt;height:0pt;width:482pt;z-index:251660288;mso-width-relative:page;mso-height-relative:page;" filled="f" stroked="t" coordsize="21600,21600" o:gfxdata="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MDdVNkAAAAJAQAADwAAAAAAAAABACAA&#10;AAAiAAAAZHJzL2Rvd25yZXYueG1sUEsBAhQAFAAAAAgAh07iQDYYL9TTAQAAogMAAA4AAAAAAAAA&#10;AQAgAAAAKAEAAGRycy9lMm9Eb2MueG1sUEsFBgAAAAAGAAYAWQEAAG0FAAAAAA==&#10;">
                <v:fill on="f" focussize="0,0"/>
                <v:stroke weight="1pt" color="#000000" joinstyle="round"/>
                <v:imagedata o:title=""/>
                <o:lock v:ext="edit" aspectratio="f"/>
              </v:line>
            </w:pict>
          </mc:Fallback>
        </mc:AlternateContent>
      </w:r>
      <w:r>
        <w:rPr>
          <w:rFonts w:hint="eastAsia" w:ascii="黑体" w:hAnsi="宋体" w:eastAsia="黑体" w:cs="黑体"/>
          <w:color w:val="000000"/>
          <w:kern w:val="0"/>
          <w:sz w:val="28"/>
          <w:szCs w:val="28"/>
          <w:lang w:bidi="ar"/>
        </w:rPr>
        <w:t>2023</w:t>
      </w:r>
      <w:r>
        <w:rPr>
          <w:rFonts w:ascii="黑体" w:hAnsi="宋体" w:eastAsia="黑体" w:cs="黑体"/>
          <w:color w:val="000000"/>
          <w:kern w:val="0"/>
          <w:sz w:val="28"/>
          <w:szCs w:val="28"/>
          <w:lang w:bidi="ar"/>
        </w:rPr>
        <w:t xml:space="preserve">-XX-XX 发布 </w:t>
      </w:r>
      <w:r>
        <w:rPr>
          <w:rFonts w:hint="eastAsia" w:ascii="黑体" w:hAnsi="宋体" w:eastAsia="黑体" w:cs="黑体"/>
          <w:color w:val="000000"/>
          <w:kern w:val="0"/>
          <w:sz w:val="28"/>
          <w:szCs w:val="28"/>
          <w:lang w:bidi="ar"/>
        </w:rPr>
        <w:t xml:space="preserve">                          2023-XX-XX 实施 中国优质农产品开发服务协会 发 布</w:t>
      </w:r>
    </w:p>
    <w:p/>
    <w:p>
      <w:pPr>
        <w:widowControl/>
        <w:shd w:val="clear" w:color="FFFFFF" w:fill="FFFFFF"/>
        <w:spacing w:before="640" w:after="560"/>
        <w:jc w:val="center"/>
        <w:outlineLvl w:val="0"/>
        <w:rPr>
          <w:rFonts w:hint="eastAsia" w:ascii="黑体" w:eastAsia="黑体"/>
          <w:color w:val="000000"/>
          <w:kern w:val="0"/>
          <w:sz w:val="32"/>
          <w:szCs w:val="20"/>
        </w:rPr>
      </w:pPr>
      <w:bookmarkStart w:id="0" w:name="_Toc118455085"/>
    </w:p>
    <w:p>
      <w:pPr>
        <w:widowControl/>
        <w:shd w:val="clear" w:color="FFFFFF" w:fill="FFFFFF"/>
        <w:spacing w:before="640" w:after="560"/>
        <w:jc w:val="center"/>
        <w:outlineLvl w:val="0"/>
        <w:rPr>
          <w:rFonts w:ascii="黑体" w:eastAsia="黑体"/>
          <w:color w:val="000000"/>
          <w:kern w:val="0"/>
          <w:sz w:val="32"/>
          <w:szCs w:val="20"/>
        </w:rPr>
      </w:pPr>
      <w:r>
        <w:rPr>
          <w:rFonts w:hint="eastAsia" w:ascii="黑体" w:eastAsia="黑体"/>
          <w:color w:val="000000"/>
          <w:kern w:val="0"/>
          <w:sz w:val="32"/>
          <w:szCs w:val="20"/>
        </w:rPr>
        <w:t>前  言</w:t>
      </w:r>
      <w:bookmarkEnd w:id="0"/>
    </w:p>
    <w:p>
      <w:pPr>
        <w:ind w:firstLine="315" w:firstLineChars="150"/>
        <w:rPr>
          <w:rFonts w:ascii="宋体" w:hAnsi="宋体"/>
          <w:color w:val="000000"/>
          <w:kern w:val="0"/>
        </w:rPr>
      </w:pPr>
      <w:r>
        <w:rPr>
          <w:rFonts w:hint="eastAsia" w:ascii="宋体" w:hAnsi="宋体"/>
          <w:color w:val="000000"/>
          <w:kern w:val="0"/>
        </w:rPr>
        <w:t>本标准按照GB/T 1.1—20</w:t>
      </w:r>
      <w:r>
        <w:rPr>
          <w:rFonts w:ascii="宋体" w:hAnsi="宋体"/>
          <w:color w:val="000000"/>
          <w:kern w:val="0"/>
        </w:rPr>
        <w:t>20</w:t>
      </w:r>
      <w:r>
        <w:rPr>
          <w:rFonts w:hint="eastAsia" w:ascii="宋体" w:hAnsi="宋体"/>
          <w:color w:val="000000"/>
          <w:kern w:val="0"/>
        </w:rPr>
        <w:t>给出的规则起草。</w:t>
      </w:r>
    </w:p>
    <w:p>
      <w:pPr>
        <w:ind w:firstLine="315" w:firstLineChars="150"/>
        <w:rPr>
          <w:rFonts w:ascii="宋体" w:hAnsi="宋体"/>
          <w:color w:val="000000"/>
          <w:kern w:val="0"/>
        </w:rPr>
      </w:pPr>
      <w:r>
        <w:rPr>
          <w:rFonts w:hint="eastAsia" w:ascii="宋体" w:hAnsi="宋体"/>
          <w:color w:val="000000"/>
          <w:kern w:val="0"/>
        </w:rPr>
        <w:t>请注意本标准的某些内容可能涉及专利。本标准的发布机构不承担识别专利的责任。</w:t>
      </w:r>
    </w:p>
    <w:p>
      <w:pPr>
        <w:ind w:firstLine="315" w:firstLineChars="150"/>
        <w:rPr>
          <w:rFonts w:ascii="宋体" w:hAnsi="宋体"/>
          <w:color w:val="000000"/>
          <w:kern w:val="0"/>
        </w:rPr>
      </w:pPr>
      <w:r>
        <w:rPr>
          <w:rFonts w:hint="eastAsia" w:ascii="宋体" w:hAnsi="宋体"/>
          <w:color w:val="000000"/>
          <w:kern w:val="0"/>
        </w:rPr>
        <w:t>本标准由中国优质农产品开发服务协会提出。</w:t>
      </w:r>
    </w:p>
    <w:p>
      <w:pPr>
        <w:ind w:firstLine="315" w:firstLineChars="150"/>
        <w:rPr>
          <w:rFonts w:ascii="宋体" w:hAnsi="宋体"/>
          <w:color w:val="000000"/>
          <w:kern w:val="0"/>
        </w:rPr>
      </w:pPr>
      <w:r>
        <w:rPr>
          <w:rFonts w:ascii="宋体" w:hAnsi="宋体"/>
          <w:color w:val="000000"/>
          <w:kern w:val="0"/>
        </w:rPr>
        <w:t>本标准由</w:t>
      </w:r>
      <w:r>
        <w:rPr>
          <w:rFonts w:hint="eastAsia" w:ascii="宋体" w:hAnsi="宋体"/>
          <w:color w:val="000000"/>
          <w:kern w:val="0"/>
        </w:rPr>
        <w:t>中国优质农产品开发服务协会</w:t>
      </w:r>
      <w:r>
        <w:rPr>
          <w:rFonts w:ascii="宋体" w:hAnsi="宋体"/>
          <w:color w:val="000000"/>
          <w:kern w:val="0"/>
        </w:rPr>
        <w:t>归口。</w:t>
      </w:r>
    </w:p>
    <w:p>
      <w:pPr>
        <w:ind w:firstLine="315" w:firstLineChars="150"/>
        <w:rPr>
          <w:rFonts w:ascii="宋体" w:hAnsi="宋体"/>
          <w:color w:val="000000"/>
          <w:kern w:val="0"/>
        </w:rPr>
      </w:pPr>
      <w:r>
        <w:rPr>
          <w:rFonts w:ascii="宋体" w:hAnsi="宋体"/>
          <w:color w:val="000000"/>
          <w:kern w:val="0"/>
        </w:rPr>
        <w:t>本标准主要起草单位：</w:t>
      </w:r>
      <w:r>
        <w:rPr>
          <w:rFonts w:hint="eastAsia" w:ascii="宋体" w:hAnsi="宋体"/>
          <w:color w:val="000000"/>
          <w:kern w:val="0"/>
        </w:rPr>
        <w:t>中标合信（北京）认证有限公司。</w:t>
      </w:r>
    </w:p>
    <w:p>
      <w:pPr>
        <w:ind w:firstLine="315" w:firstLineChars="150"/>
        <w:rPr>
          <w:rFonts w:ascii="宋体" w:hAnsi="宋体"/>
          <w:color w:val="000000"/>
          <w:kern w:val="0"/>
        </w:rPr>
      </w:pPr>
      <w:r>
        <w:rPr>
          <w:rFonts w:ascii="宋体" w:hAnsi="宋体"/>
          <w:color w:val="000000"/>
          <w:kern w:val="0"/>
        </w:rPr>
        <w:t>本标准主要起草人：</w:t>
      </w:r>
    </w:p>
    <w:p>
      <w:pPr>
        <w:ind w:firstLine="315" w:firstLineChars="150"/>
        <w:rPr>
          <w:rFonts w:ascii="宋体" w:hAnsi="宋体"/>
          <w:color w:val="000000"/>
          <w:kern w:val="0"/>
        </w:rPr>
      </w:pPr>
      <w:r>
        <w:rPr>
          <w:rFonts w:ascii="宋体" w:hAnsi="宋体"/>
          <w:color w:val="000000"/>
          <w:kern w:val="0"/>
        </w:rPr>
        <w:t>本标准为首次发布。</w:t>
      </w:r>
    </w:p>
    <w:p>
      <w:pPr>
        <w:rPr>
          <w:rFonts w:eastAsiaTheme="minorEastAsia"/>
          <w:sz w:val="20"/>
          <w:szCs w:val="20"/>
        </w:rPr>
      </w:pPr>
    </w:p>
    <w:p>
      <w:pPr>
        <w:tabs>
          <w:tab w:val="left" w:pos="6358"/>
        </w:tabs>
        <w:jc w:val="left"/>
        <w:rPr>
          <w:rFonts w:eastAsiaTheme="minorEastAsia"/>
          <w:sz w:val="20"/>
          <w:szCs w:val="20"/>
        </w:rPr>
      </w:pPr>
      <w:r>
        <w:rPr>
          <w:rFonts w:eastAsiaTheme="minorEastAsia"/>
          <w:sz w:val="20"/>
          <w:szCs w:val="20"/>
        </w:rPr>
        <w:tab/>
      </w: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pStyle w:val="44"/>
        <w:outlineLvl w:val="9"/>
        <w:sectPr>
          <w:footerReference r:id="rId3" w:type="default"/>
          <w:pgSz w:w="11906" w:h="16838"/>
          <w:pgMar w:top="1440" w:right="1797" w:bottom="1440" w:left="1797" w:header="851" w:footer="992" w:gutter="0"/>
          <w:pgNumType w:start="1"/>
          <w:cols w:space="425" w:num="1"/>
          <w:docGrid w:type="lines" w:linePitch="312" w:charSpace="0"/>
        </w:sectPr>
      </w:pPr>
    </w:p>
    <w:p>
      <w:pPr>
        <w:pStyle w:val="44"/>
        <w:outlineLvl w:val="9"/>
      </w:pPr>
      <w:r>
        <w:rPr>
          <w:rFonts w:hint="eastAsia"/>
        </w:rPr>
        <w:t>优质农食产品评价规范</w:t>
      </w:r>
    </w:p>
    <w:p>
      <w:pPr>
        <w:pStyle w:val="27"/>
        <w:ind w:firstLine="0" w:firstLineChars="0"/>
        <w:jc w:val="center"/>
      </w:pPr>
    </w:p>
    <w:p>
      <w:pPr>
        <w:pStyle w:val="29"/>
        <w:numPr>
          <w:ilvl w:val="0"/>
          <w:numId w:val="4"/>
        </w:numPr>
        <w:spacing w:before="312" w:after="312"/>
        <w:rPr>
          <w:color w:val="000000" w:themeColor="text1"/>
          <w14:textFill>
            <w14:solidFill>
              <w14:schemeClr w14:val="tx1"/>
            </w14:solidFill>
          </w14:textFill>
        </w:rPr>
      </w:pPr>
      <w:bookmarkStart w:id="1" w:name="_Toc118455086"/>
      <w:r>
        <w:rPr>
          <w:rFonts w:hint="eastAsia"/>
          <w:color w:val="000000" w:themeColor="text1"/>
          <w14:textFill>
            <w14:solidFill>
              <w14:schemeClr w14:val="tx1"/>
            </w14:solidFill>
          </w14:textFill>
        </w:rPr>
        <w:t>范围</w:t>
      </w:r>
      <w:bookmarkEnd w:id="1"/>
    </w:p>
    <w:p>
      <w:pPr>
        <w:spacing w:line="300" w:lineRule="auto"/>
        <w:ind w:firstLine="426"/>
        <w:rPr>
          <w:color w:val="000000"/>
        </w:rPr>
      </w:pPr>
      <w:r>
        <w:rPr>
          <w:rFonts w:hint="eastAsia"/>
        </w:rPr>
        <w:t>本标准规定了</w:t>
      </w:r>
      <w:r>
        <w:rPr>
          <w:rFonts w:hint="eastAsia"/>
          <w:color w:val="000000"/>
        </w:rPr>
        <w:t>优质农食产品评价的通用原则。</w:t>
      </w:r>
    </w:p>
    <w:p>
      <w:pPr>
        <w:spacing w:line="300" w:lineRule="auto"/>
        <w:ind w:firstLine="426"/>
      </w:pPr>
      <w:r>
        <w:rPr>
          <w:rFonts w:hint="eastAsia"/>
          <w:color w:val="000000"/>
        </w:rPr>
        <w:t>本标准适用于优质农食产品生产经营的过程控制和管理</w:t>
      </w:r>
      <w:r>
        <w:rPr>
          <w:rFonts w:hint="eastAsia"/>
        </w:rPr>
        <w:t>，也适用于指导具体优质农食产品评价规范的编制。</w:t>
      </w:r>
    </w:p>
    <w:p>
      <w:pPr>
        <w:pStyle w:val="29"/>
        <w:numPr>
          <w:ilvl w:val="0"/>
          <w:numId w:val="4"/>
        </w:numPr>
        <w:spacing w:before="312" w:after="312"/>
        <w:rPr>
          <w:color w:val="000000" w:themeColor="text1"/>
          <w14:textFill>
            <w14:solidFill>
              <w14:schemeClr w14:val="tx1"/>
            </w14:solidFill>
          </w14:textFill>
        </w:rPr>
      </w:pPr>
      <w:bookmarkStart w:id="2" w:name="_Toc118455087"/>
      <w:r>
        <w:rPr>
          <w:rFonts w:hint="eastAsia"/>
          <w:color w:val="000000" w:themeColor="text1"/>
          <w14:textFill>
            <w14:solidFill>
              <w14:schemeClr w14:val="tx1"/>
            </w14:solidFill>
          </w14:textFill>
        </w:rPr>
        <w:t>规范性引用文件</w:t>
      </w:r>
      <w:bookmarkEnd w:id="2"/>
    </w:p>
    <w:p>
      <w:pPr>
        <w:spacing w:line="300" w:lineRule="auto"/>
        <w:ind w:firstLine="426"/>
        <w:rPr>
          <w:color w:val="000000"/>
        </w:rPr>
      </w:pPr>
      <w:r>
        <w:rPr>
          <w:rFonts w:hint="eastAsia"/>
          <w:color w:val="000000"/>
        </w:rPr>
        <w:t>下列文件中的内容通过文中的规范性引用而构成本标准必不可少的条款。其中，注日期的引用文件，仅该日期对应的版本适用于本标准；不注日期的引用文件，其最新版本（包括所有的修改单）适用于本标准。</w:t>
      </w:r>
    </w:p>
    <w:p>
      <w:pPr>
        <w:spacing w:line="300" w:lineRule="auto"/>
        <w:ind w:firstLine="426"/>
        <w:rPr>
          <w:color w:val="000000"/>
        </w:rPr>
      </w:pPr>
      <w:bookmarkStart w:id="3" w:name="_Hlk118930002"/>
      <w:r>
        <w:rPr>
          <w:rFonts w:hint="eastAsia"/>
          <w:color w:val="000000"/>
        </w:rPr>
        <w:t>GB 3095 环境空气质量标准</w:t>
      </w:r>
    </w:p>
    <w:p>
      <w:pPr>
        <w:spacing w:line="300" w:lineRule="auto"/>
        <w:ind w:firstLine="426"/>
        <w:rPr>
          <w:color w:val="000000"/>
        </w:rPr>
      </w:pPr>
      <w:r>
        <w:rPr>
          <w:rFonts w:hint="eastAsia"/>
          <w:color w:val="000000"/>
        </w:rPr>
        <w:t>GB 5084 农田灌溉水质标准</w:t>
      </w:r>
    </w:p>
    <w:p>
      <w:pPr>
        <w:spacing w:line="300" w:lineRule="auto"/>
        <w:ind w:firstLine="426"/>
        <w:rPr>
          <w:color w:val="000000"/>
        </w:rPr>
      </w:pPr>
      <w:r>
        <w:rPr>
          <w:rFonts w:hint="eastAsia"/>
          <w:color w:val="000000"/>
        </w:rPr>
        <w:t>GB 11607 渔业水质标准</w:t>
      </w:r>
    </w:p>
    <w:p>
      <w:pPr>
        <w:spacing w:line="300" w:lineRule="auto"/>
        <w:ind w:firstLine="426"/>
        <w:rPr>
          <w:color w:val="000000"/>
        </w:rPr>
      </w:pPr>
      <w:r>
        <w:rPr>
          <w:rFonts w:hint="eastAsia"/>
          <w:color w:val="000000"/>
        </w:rPr>
        <w:t>GB 13078 饲料卫生标准</w:t>
      </w:r>
    </w:p>
    <w:p>
      <w:pPr>
        <w:spacing w:line="300" w:lineRule="auto"/>
        <w:ind w:firstLine="426"/>
        <w:rPr>
          <w:rFonts w:ascii="宋体" w:hAnsi="宋体" w:cs="宋体"/>
          <w:spacing w:val="8"/>
          <w:sz w:val="20"/>
          <w:szCs w:val="20"/>
        </w:rPr>
      </w:pPr>
      <w:r>
        <w:rPr>
          <w:rFonts w:eastAsia="Times New Roman"/>
          <w:sz w:val="20"/>
          <w:szCs w:val="20"/>
        </w:rPr>
        <w:t>GB</w:t>
      </w:r>
      <w:r>
        <w:rPr>
          <w:rFonts w:eastAsia="Times New Roman"/>
          <w:spacing w:val="27"/>
          <w:sz w:val="20"/>
          <w:szCs w:val="20"/>
        </w:rPr>
        <w:t xml:space="preserve"> </w:t>
      </w:r>
      <w:r>
        <w:rPr>
          <w:rFonts w:eastAsia="Times New Roman"/>
          <w:spacing w:val="1"/>
          <w:sz w:val="20"/>
          <w:szCs w:val="20"/>
        </w:rPr>
        <w:t>13078</w:t>
      </w:r>
      <w:r>
        <w:rPr>
          <w:rFonts w:eastAsia="Times New Roman"/>
          <w:sz w:val="20"/>
          <w:szCs w:val="20"/>
        </w:rPr>
        <w:t xml:space="preserve"> </w:t>
      </w:r>
      <w:r>
        <w:rPr>
          <w:rFonts w:hint="eastAsia"/>
          <w:sz w:val="20"/>
          <w:szCs w:val="20"/>
        </w:rPr>
        <w:t xml:space="preserve"> </w:t>
      </w:r>
      <w:r>
        <w:rPr>
          <w:rFonts w:ascii="宋体" w:hAnsi="宋体" w:cs="宋体"/>
          <w:spacing w:val="8"/>
          <w:sz w:val="20"/>
          <w:szCs w:val="20"/>
        </w:rPr>
        <w:t>饲料卫生标准</w:t>
      </w:r>
    </w:p>
    <w:p>
      <w:pPr>
        <w:spacing w:line="300" w:lineRule="auto"/>
        <w:ind w:firstLine="426"/>
        <w:rPr>
          <w:rFonts w:ascii="宋体" w:hAnsi="宋体" w:cs="宋体"/>
          <w:spacing w:val="8"/>
          <w:sz w:val="20"/>
          <w:szCs w:val="20"/>
        </w:rPr>
      </w:pPr>
      <w:r>
        <w:rPr>
          <w:rFonts w:eastAsia="Times New Roman"/>
          <w:sz w:val="20"/>
          <w:szCs w:val="20"/>
        </w:rPr>
        <w:t>GB 14881</w:t>
      </w:r>
      <w:r>
        <w:rPr>
          <w:rFonts w:hint="eastAsia" w:ascii="宋体" w:hAnsi="宋体" w:cs="宋体"/>
          <w:spacing w:val="8"/>
          <w:sz w:val="20"/>
          <w:szCs w:val="20"/>
        </w:rPr>
        <w:t xml:space="preserve"> 食品安全国家标准 食品生产通用卫生规范</w:t>
      </w:r>
    </w:p>
    <w:p>
      <w:pPr>
        <w:spacing w:line="300" w:lineRule="auto"/>
        <w:ind w:firstLine="426"/>
        <w:rPr>
          <w:rFonts w:ascii="宋体" w:hAnsi="宋体" w:cs="宋体"/>
          <w:spacing w:val="8"/>
          <w:sz w:val="20"/>
          <w:szCs w:val="20"/>
        </w:rPr>
      </w:pPr>
      <w:r>
        <w:rPr>
          <w:rFonts w:hint="eastAsia"/>
          <w:color w:val="000000"/>
        </w:rPr>
        <w:t>GB 15618 土壤环境质量 农用地土壤污染风险管控标准（试行）</w:t>
      </w:r>
    </w:p>
    <w:p>
      <w:pPr>
        <w:spacing w:line="300" w:lineRule="auto"/>
        <w:ind w:firstLine="426"/>
        <w:rPr>
          <w:color w:val="000000"/>
        </w:rPr>
      </w:pPr>
      <w:r>
        <w:rPr>
          <w:rFonts w:hint="eastAsia"/>
          <w:color w:val="000000"/>
        </w:rPr>
        <w:t>NY/T 473 绿色食品 畜禽卫生防疫准则</w:t>
      </w:r>
    </w:p>
    <w:bookmarkEnd w:id="3"/>
    <w:p>
      <w:pPr>
        <w:pStyle w:val="29"/>
        <w:numPr>
          <w:ilvl w:val="0"/>
          <w:numId w:val="4"/>
        </w:numPr>
        <w:spacing w:before="312" w:after="312"/>
        <w:rPr>
          <w:color w:val="000000" w:themeColor="text1"/>
          <w14:textFill>
            <w14:solidFill>
              <w14:schemeClr w14:val="tx1"/>
            </w14:solidFill>
          </w14:textFill>
        </w:rPr>
      </w:pPr>
      <w:bookmarkStart w:id="4" w:name="_Toc118455088"/>
      <w:r>
        <w:rPr>
          <w:rFonts w:hint="eastAsia"/>
          <w:color w:val="000000" w:themeColor="text1"/>
          <w14:textFill>
            <w14:solidFill>
              <w14:schemeClr w14:val="tx1"/>
            </w14:solidFill>
          </w14:textFill>
        </w:rPr>
        <w:t>术语和定义</w:t>
      </w:r>
      <w:bookmarkEnd w:id="4"/>
    </w:p>
    <w:p>
      <w:pPr>
        <w:pStyle w:val="27"/>
        <w:numPr>
          <w:ilvl w:val="0"/>
          <w:numId w:val="5"/>
        </w:numPr>
        <w:tabs>
          <w:tab w:val="clear" w:pos="4201"/>
          <w:tab w:val="clear" w:pos="9298"/>
        </w:tabs>
        <w:ind w:left="851" w:hanging="851" w:firstLineChars="0"/>
        <w:rPr>
          <w:rFonts w:ascii="黑体" w:hAnsi="黑体" w:eastAsia="黑体"/>
          <w:b/>
          <w:bCs/>
        </w:rPr>
      </w:pPr>
    </w:p>
    <w:p>
      <w:pPr>
        <w:spacing w:line="300" w:lineRule="auto"/>
        <w:ind w:firstLine="426"/>
        <w:rPr>
          <w:b/>
        </w:rPr>
      </w:pPr>
      <w:r>
        <w:rPr>
          <w:rFonts w:hint="eastAsia"/>
          <w:b/>
        </w:rPr>
        <w:t>品质 product quality</w:t>
      </w:r>
    </w:p>
    <w:p>
      <w:pPr>
        <w:spacing w:line="300" w:lineRule="auto"/>
        <w:ind w:firstLine="426"/>
        <w:rPr>
          <w:szCs w:val="21"/>
        </w:rPr>
      </w:pPr>
      <w:r>
        <w:rPr>
          <w:rFonts w:hint="eastAsia"/>
          <w:szCs w:val="21"/>
        </w:rPr>
        <w:t xml:space="preserve">产品的质量，即产品所具备的一种或几种为达到客户满意所具备的固有特性。 </w:t>
      </w:r>
    </w:p>
    <w:p>
      <w:pPr>
        <w:spacing w:line="300" w:lineRule="auto"/>
        <w:ind w:firstLine="426"/>
        <w:rPr>
          <w:szCs w:val="21"/>
        </w:rPr>
      </w:pPr>
      <w:r>
        <w:rPr>
          <w:rFonts w:hint="eastAsia"/>
          <w:szCs w:val="21"/>
        </w:rPr>
        <w:t>品质可包括产品自身质量特性及影响产品质量的因素（如生产销售过程）的特性。</w:t>
      </w:r>
    </w:p>
    <w:p>
      <w:pPr>
        <w:pStyle w:val="27"/>
        <w:numPr>
          <w:ilvl w:val="0"/>
          <w:numId w:val="5"/>
        </w:numPr>
        <w:tabs>
          <w:tab w:val="clear" w:pos="4201"/>
          <w:tab w:val="clear" w:pos="9298"/>
        </w:tabs>
        <w:ind w:left="851" w:hanging="851" w:firstLineChars="0"/>
        <w:rPr>
          <w:rFonts w:ascii="黑体" w:hAnsi="黑体" w:eastAsia="黑体"/>
          <w:b/>
          <w:bCs/>
        </w:rPr>
      </w:pPr>
    </w:p>
    <w:p>
      <w:pPr>
        <w:spacing w:line="300" w:lineRule="auto"/>
        <w:ind w:firstLine="424" w:firstLineChars="201"/>
        <w:rPr>
          <w:b/>
        </w:rPr>
      </w:pPr>
      <w:r>
        <w:rPr>
          <w:rFonts w:hint="eastAsia"/>
          <w:b/>
        </w:rPr>
        <w:t xml:space="preserve">优质农食产品 </w:t>
      </w:r>
      <w:r>
        <w:rPr>
          <w:b/>
        </w:rPr>
        <w:t>High-quality agricultural food products</w:t>
      </w:r>
    </w:p>
    <w:p>
      <w:pPr>
        <w:spacing w:line="300" w:lineRule="auto"/>
        <w:ind w:firstLine="420" w:firstLineChars="200"/>
        <w:rPr>
          <w:szCs w:val="21"/>
        </w:rPr>
      </w:pPr>
      <w:r>
        <w:rPr>
          <w:rFonts w:hint="eastAsia"/>
          <w:szCs w:val="21"/>
        </w:rPr>
        <w:t>经认证机构评审达到优质农食产品相应等级评级分值，且农产品品质指标普遍高于国家标准，农产品品质符合优质农食产品评价标准和优质农食产品系列产品评价标准要求的农产品。</w:t>
      </w:r>
    </w:p>
    <w:p>
      <w:pPr>
        <w:pStyle w:val="27"/>
        <w:numPr>
          <w:ilvl w:val="0"/>
          <w:numId w:val="5"/>
        </w:numPr>
        <w:tabs>
          <w:tab w:val="clear" w:pos="4201"/>
          <w:tab w:val="clear" w:pos="9298"/>
        </w:tabs>
        <w:ind w:left="851" w:hanging="851" w:firstLineChars="0"/>
        <w:rPr>
          <w:rFonts w:ascii="黑体" w:hAnsi="黑体" w:eastAsia="黑体"/>
          <w:b/>
          <w:bCs/>
        </w:rPr>
      </w:pPr>
    </w:p>
    <w:p>
      <w:pPr>
        <w:spacing w:line="300" w:lineRule="auto"/>
        <w:ind w:firstLine="426"/>
        <w:rPr>
          <w:b/>
        </w:rPr>
      </w:pPr>
      <w:r>
        <w:rPr>
          <w:rFonts w:hint="eastAsia"/>
          <w:b/>
        </w:rPr>
        <w:t>品质溯源 product</w:t>
      </w:r>
      <w:r>
        <w:rPr>
          <w:b/>
        </w:rPr>
        <w:t xml:space="preserve"> </w:t>
      </w:r>
      <w:r>
        <w:rPr>
          <w:rFonts w:hint="eastAsia"/>
          <w:b/>
        </w:rPr>
        <w:t>quality tracing</w:t>
      </w:r>
    </w:p>
    <w:p>
      <w:pPr>
        <w:spacing w:line="300" w:lineRule="auto"/>
        <w:ind w:firstLine="426"/>
      </w:pPr>
      <w:r>
        <w:rPr>
          <w:rFonts w:hint="eastAsia"/>
        </w:rPr>
        <w:t xml:space="preserve">对产品质量特性及影响产品质量的因素的信息的追溯。 </w:t>
      </w:r>
    </w:p>
    <w:p>
      <w:pPr>
        <w:spacing w:line="300" w:lineRule="auto"/>
        <w:ind w:firstLine="426"/>
      </w:pPr>
      <w:r>
        <w:rPr>
          <w:rFonts w:hint="eastAsia"/>
        </w:rPr>
        <w:t>注：质量特性和影响因素是依据认证的具体方案和相关标准确定。</w:t>
      </w:r>
    </w:p>
    <w:p>
      <w:pPr>
        <w:pStyle w:val="29"/>
        <w:numPr>
          <w:ilvl w:val="0"/>
          <w:numId w:val="4"/>
        </w:numPr>
        <w:spacing w:before="312" w:after="312"/>
        <w:rPr>
          <w:color w:val="000000" w:themeColor="text1"/>
          <w14:textFill>
            <w14:solidFill>
              <w14:schemeClr w14:val="tx1"/>
            </w14:solidFill>
          </w14:textFill>
        </w:rPr>
      </w:pPr>
      <w:bookmarkStart w:id="5" w:name="_Toc124104803"/>
      <w:r>
        <w:rPr>
          <w:rFonts w:hint="eastAsia"/>
          <w:color w:val="000000" w:themeColor="text1"/>
          <w14:textFill>
            <w14:solidFill>
              <w14:schemeClr w14:val="tx1"/>
            </w14:solidFill>
          </w14:textFill>
        </w:rPr>
        <w:t>一般原则</w:t>
      </w:r>
      <w:bookmarkEnd w:id="5"/>
    </w:p>
    <w:p>
      <w:pPr>
        <w:pStyle w:val="28"/>
        <w:adjustRightInd w:val="0"/>
        <w:snapToGrid w:val="0"/>
        <w:spacing w:before="156" w:after="156" w:line="360" w:lineRule="exact"/>
        <w:outlineLvl w:val="9"/>
        <w:rPr>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总则</w:t>
      </w:r>
    </w:p>
    <w:p>
      <w:pPr>
        <w:spacing w:line="300" w:lineRule="auto"/>
        <w:ind w:firstLine="426"/>
      </w:pPr>
      <w:r>
        <w:rPr>
          <w:rFonts w:hint="eastAsia"/>
        </w:rPr>
        <w:t>基于风险控制的思维，依据PDCA循环理论，以农产品食品质量合规为中心，通过计划与管理进行策划（P），通过供应链过程控制、设施与环境评价进行实施（D），通过质量检验保证进行绩效评价（C），通过提升品牌信誉进行改进（A），整体构建优质农食产品质量模型，详见图1。</w:t>
      </w:r>
    </w:p>
    <w:p>
      <w:pPr>
        <w:spacing w:line="300" w:lineRule="auto"/>
        <w:ind w:firstLine="426"/>
        <w:jc w:val="center"/>
      </w:pPr>
      <w:r>
        <w:pict>
          <v:shape id="_x0000_i1025" o:spt="75" type="#_x0000_t75" style="height:275.8pt;width:298.6pt;" filled="f" o:preferrelative="t" stroked="f" coordsize="21600,21600">
            <v:path/>
            <v:fill on="f" focussize="0,0"/>
            <v:stroke on="f" joinstyle="miter"/>
            <v:imagedata r:id="rId6" o:title=""/>
            <o:lock v:ext="edit" aspectratio="t"/>
            <w10:wrap type="none"/>
            <w10:anchorlock/>
          </v:shape>
        </w:pict>
      </w:r>
    </w:p>
    <w:p>
      <w:pPr>
        <w:spacing w:line="300" w:lineRule="auto"/>
        <w:ind w:firstLine="426"/>
        <w:jc w:val="center"/>
      </w:pPr>
      <w:r>
        <w:rPr>
          <w:rFonts w:hint="eastAsia"/>
        </w:rPr>
        <w:t>图1 优质农食产品质量保证模型</w:t>
      </w:r>
    </w:p>
    <w:p>
      <w:pPr>
        <w:pStyle w:val="28"/>
        <w:adjustRightInd w:val="0"/>
        <w:snapToGrid w:val="0"/>
        <w:spacing w:before="156" w:after="156" w:line="360" w:lineRule="exact"/>
        <w:outlineLvl w:val="9"/>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优质农食产品质量保证能力原则</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合规管理原则</w:t>
      </w:r>
    </w:p>
    <w:p>
      <w:pPr>
        <w:pStyle w:val="27"/>
        <w:adjustRightInd w:val="0"/>
        <w:snapToGrid w:val="0"/>
        <w:spacing w:line="300" w:lineRule="auto"/>
      </w:pPr>
      <w:r>
        <w:rPr>
          <w:rFonts w:hint="eastAsia"/>
        </w:rPr>
        <w:t>生产、经营组织应具有合法的法律证明文件，建立合规管理相关规章制度，制定</w:t>
      </w:r>
      <w:r>
        <w:rPr>
          <w:rFonts w:hint="eastAsia" w:asciiTheme="minorEastAsia" w:hAnsiTheme="minorEastAsia" w:eastAsiaTheme="minorEastAsia"/>
          <w:bCs/>
        </w:rPr>
        <w:t>法律法规、标准及相关市场准入要求清单</w:t>
      </w:r>
      <w:r>
        <w:rPr>
          <w:rFonts w:hint="eastAsia"/>
        </w:rPr>
        <w:t>，并做出合规承诺。</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高效的计划管理原则</w:t>
      </w:r>
    </w:p>
    <w:p>
      <w:pPr>
        <w:pStyle w:val="22"/>
        <w:numPr>
          <w:ilvl w:val="0"/>
          <w:numId w:val="6"/>
        </w:numPr>
        <w:spacing w:line="300" w:lineRule="auto"/>
      </w:pPr>
      <w:r>
        <w:rPr>
          <w:rFonts w:hint="eastAsia"/>
        </w:rPr>
        <w:t>生产、经营组织应制定优质农食产品评价管理制度，明确质量战略、质量目标与质量方案；</w:t>
      </w:r>
    </w:p>
    <w:p>
      <w:pPr>
        <w:pStyle w:val="22"/>
        <w:numPr>
          <w:ilvl w:val="0"/>
          <w:numId w:val="6"/>
        </w:numPr>
        <w:spacing w:line="300" w:lineRule="auto"/>
      </w:pPr>
      <w:r>
        <w:rPr>
          <w:rFonts w:hint="eastAsia"/>
        </w:rPr>
        <w:t>生产、经营组织应规定各有关部门、人员的质量职责、权限和相互关系，确保生产企业的产品 研发、生产、质量活动得到有效控制；</w:t>
      </w:r>
    </w:p>
    <w:p>
      <w:pPr>
        <w:pStyle w:val="22"/>
        <w:numPr>
          <w:ilvl w:val="0"/>
          <w:numId w:val="6"/>
        </w:numPr>
        <w:spacing w:line="300" w:lineRule="auto"/>
      </w:pPr>
      <w:r>
        <w:rPr>
          <w:rFonts w:hint="eastAsia"/>
        </w:rPr>
        <w:t>生产、经营组织组织应配备相应的人力资源，确保从事对产品质量有影响的工作人员具备相应的能力。</w:t>
      </w:r>
    </w:p>
    <w:p>
      <w:pPr>
        <w:pStyle w:val="22"/>
        <w:numPr>
          <w:ilvl w:val="0"/>
          <w:numId w:val="6"/>
        </w:numPr>
        <w:spacing w:line="300" w:lineRule="auto"/>
      </w:pPr>
      <w:r>
        <w:rPr>
          <w:rFonts w:hint="eastAsia"/>
        </w:rPr>
        <w:t>生产、经营组织应为其活动影响到产品质量、食品安全的人员提供适宜的培训， 并保留适当的培训记录。</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设施与环境保障原则</w:t>
      </w:r>
    </w:p>
    <w:p>
      <w:pPr>
        <w:pStyle w:val="22"/>
        <w:numPr>
          <w:ilvl w:val="0"/>
          <w:numId w:val="7"/>
        </w:numPr>
        <w:spacing w:line="300" w:lineRule="auto"/>
      </w:pPr>
      <w:r>
        <w:rPr>
          <w:rFonts w:hint="eastAsia"/>
        </w:rPr>
        <w:t>生产、经营组织应提供并维护生产所需的设备设施，且设备应安装/安放在适当的位置，以便清洁和维护；</w:t>
      </w:r>
    </w:p>
    <w:p>
      <w:pPr>
        <w:pStyle w:val="22"/>
        <w:numPr>
          <w:ilvl w:val="0"/>
          <w:numId w:val="7"/>
        </w:numPr>
        <w:spacing w:line="300" w:lineRule="auto"/>
      </w:pPr>
      <w:r>
        <w:rPr>
          <w:rFonts w:hint="eastAsia"/>
        </w:rPr>
        <w:t>生产、经营组织建立设备设施的维护保养管理制度，确保设备正常运行；</w:t>
      </w:r>
    </w:p>
    <w:p>
      <w:pPr>
        <w:pStyle w:val="22"/>
        <w:numPr>
          <w:ilvl w:val="0"/>
          <w:numId w:val="7"/>
        </w:numPr>
        <w:spacing w:line="300" w:lineRule="auto"/>
      </w:pPr>
      <w:r>
        <w:rPr>
          <w:rFonts w:hint="eastAsia"/>
        </w:rPr>
        <w:t>农产品的生产基地应远离城区、工矿区、 交通主干线、工业污染源、生活垃圾场等；</w:t>
      </w:r>
    </w:p>
    <w:p>
      <w:pPr>
        <w:pStyle w:val="22"/>
        <w:numPr>
          <w:ilvl w:val="0"/>
          <w:numId w:val="7"/>
        </w:numPr>
        <w:spacing w:line="300" w:lineRule="auto"/>
      </w:pPr>
      <w:r>
        <w:rPr>
          <w:rFonts w:hint="eastAsia"/>
        </w:rPr>
        <w:t>农产品、食品的生产需要在适宜的环境条件下进行，产地的环境质量应符合以下要求：</w:t>
      </w:r>
    </w:p>
    <w:p>
      <w:pPr>
        <w:pStyle w:val="22"/>
        <w:numPr>
          <w:ilvl w:val="0"/>
          <w:numId w:val="8"/>
        </w:numPr>
        <w:spacing w:line="300" w:lineRule="auto"/>
      </w:pPr>
      <w:r>
        <w:rPr>
          <w:rFonts w:hint="eastAsia"/>
        </w:rPr>
        <w:t>环境空气质量符合GB 3095要求，可采信当地县级以上环保部门出具的证明，亦可接受国家政府部门官网等公布的信息数据截图等；</w:t>
      </w:r>
    </w:p>
    <w:p>
      <w:pPr>
        <w:pStyle w:val="22"/>
        <w:numPr>
          <w:ilvl w:val="0"/>
          <w:numId w:val="8"/>
        </w:numPr>
        <w:spacing w:line="300" w:lineRule="auto"/>
      </w:pPr>
      <w:r>
        <w:rPr>
          <w:rFonts w:hint="eastAsia"/>
        </w:rPr>
        <w:t>土壤环境质量符合GB 15618要求；</w:t>
      </w:r>
    </w:p>
    <w:p>
      <w:pPr>
        <w:pStyle w:val="22"/>
        <w:numPr>
          <w:ilvl w:val="0"/>
          <w:numId w:val="8"/>
        </w:numPr>
        <w:spacing w:line="300" w:lineRule="auto"/>
      </w:pPr>
      <w:r>
        <w:rPr>
          <w:rFonts w:hint="eastAsia"/>
        </w:rPr>
        <w:t>农田灌溉水水质符合GB 5084要求；</w:t>
      </w:r>
    </w:p>
    <w:p>
      <w:pPr>
        <w:pStyle w:val="22"/>
        <w:numPr>
          <w:ilvl w:val="0"/>
          <w:numId w:val="8"/>
        </w:numPr>
        <w:spacing w:line="300" w:lineRule="auto"/>
      </w:pPr>
      <w:r>
        <w:rPr>
          <w:rFonts w:hint="eastAsia"/>
        </w:rPr>
        <w:t>畜禽饮用水水质应符合GB 5749要求；</w:t>
      </w:r>
    </w:p>
    <w:p>
      <w:pPr>
        <w:pStyle w:val="22"/>
        <w:numPr>
          <w:ilvl w:val="0"/>
          <w:numId w:val="8"/>
        </w:numPr>
        <w:spacing w:line="300" w:lineRule="auto"/>
      </w:pPr>
      <w:r>
        <w:rPr>
          <w:rFonts w:hint="eastAsia"/>
        </w:rPr>
        <w:t>渔业水质应符合GB 11607要求；</w:t>
      </w:r>
    </w:p>
    <w:p>
      <w:pPr>
        <w:pStyle w:val="22"/>
        <w:numPr>
          <w:ilvl w:val="0"/>
          <w:numId w:val="8"/>
        </w:numPr>
        <w:spacing w:line="300" w:lineRule="auto"/>
      </w:pPr>
      <w:r>
        <w:rPr>
          <w:rFonts w:hint="eastAsia"/>
        </w:rPr>
        <w:t>用于清洗农产品的用水、加工用水应符合GB 5749要求。</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优质供应链管控原则</w:t>
      </w:r>
    </w:p>
    <w:p>
      <w:pPr>
        <w:pStyle w:val="22"/>
        <w:numPr>
          <w:ilvl w:val="0"/>
          <w:numId w:val="9"/>
        </w:numPr>
        <w:spacing w:line="300" w:lineRule="auto"/>
      </w:pPr>
      <w:r>
        <w:rPr>
          <w:rFonts w:hint="eastAsia"/>
        </w:rPr>
        <w:t>生产企业应建立统一的供应商评价机制和要求；</w:t>
      </w:r>
    </w:p>
    <w:p>
      <w:pPr>
        <w:pStyle w:val="22"/>
        <w:numPr>
          <w:ilvl w:val="0"/>
          <w:numId w:val="9"/>
        </w:numPr>
        <w:spacing w:line="300" w:lineRule="auto"/>
      </w:pPr>
      <w:r>
        <w:rPr>
          <w:rFonts w:hint="eastAsia"/>
        </w:rPr>
        <w:t>主要原料、辅料、配料及包装材料等主要物料统一采购，并按要求验收。</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精益过程控制原则</w:t>
      </w:r>
    </w:p>
    <w:p>
      <w:pPr>
        <w:pStyle w:val="22"/>
        <w:spacing w:line="300" w:lineRule="auto"/>
      </w:pPr>
      <w:r>
        <w:rPr>
          <w:rFonts w:hint="eastAsia"/>
        </w:rPr>
        <w:t>生产企业应建立种养殖管理操作规程、生产过程工艺流程和方案，制定标准化作业规范，并进行自检与改进。</w:t>
      </w:r>
    </w:p>
    <w:p>
      <w:pPr>
        <w:pStyle w:val="22"/>
        <w:spacing w:line="300" w:lineRule="auto"/>
        <w:ind w:firstLine="0" w:firstLineChars="0"/>
        <w:rPr>
          <w:rFonts w:ascii="黑体" w:hAnsi="黑体" w:eastAsia="黑体" w:cs="黑体"/>
        </w:rPr>
      </w:pPr>
      <w:r>
        <w:rPr>
          <w:rFonts w:hint="eastAsia" w:ascii="黑体" w:hAnsi="黑体" w:eastAsia="黑体" w:cs="黑体"/>
        </w:rPr>
        <w:t>4.2.5.1植物生产</w:t>
      </w:r>
    </w:p>
    <w:p>
      <w:pPr>
        <w:pStyle w:val="22"/>
        <w:numPr>
          <w:ilvl w:val="0"/>
          <w:numId w:val="10"/>
        </w:numPr>
        <w:spacing w:line="300" w:lineRule="auto"/>
        <w:rPr>
          <w:rFonts w:ascii="黑体" w:hAnsi="黑体" w:eastAsia="黑体" w:cs="黑体"/>
        </w:rPr>
      </w:pPr>
      <w:r>
        <w:rPr>
          <w:rFonts w:hint="eastAsia" w:ascii="黑体" w:hAnsi="黑体" w:eastAsia="黑体" w:cs="黑体"/>
        </w:rPr>
        <w:t>种子和植物繁殖材料</w:t>
      </w:r>
    </w:p>
    <w:p>
      <w:pPr>
        <w:pStyle w:val="22"/>
        <w:spacing w:line="300" w:lineRule="auto"/>
        <w:rPr>
          <w:rFonts w:ascii="宋体" w:cs="宋体"/>
          <w:kern w:val="0"/>
          <w:szCs w:val="21"/>
        </w:rPr>
      </w:pPr>
      <w:r>
        <w:rPr>
          <w:rFonts w:hint="eastAsia"/>
        </w:rPr>
        <w:t>应选择能够满足气候和作业条件特点，具有</w:t>
      </w:r>
      <w:r>
        <w:rPr>
          <w:rFonts w:hint="eastAsia" w:ascii="宋体" w:cs="宋体"/>
          <w:kern w:val="0"/>
          <w:szCs w:val="21"/>
        </w:rPr>
        <w:t>抗病虫害、品质优良</w:t>
      </w:r>
      <w:r>
        <w:rPr>
          <w:rFonts w:hint="eastAsia"/>
        </w:rPr>
        <w:t>的非转基因种子或植物繁殖材料。</w:t>
      </w:r>
    </w:p>
    <w:p>
      <w:pPr>
        <w:pStyle w:val="22"/>
        <w:spacing w:line="300" w:lineRule="auto"/>
      </w:pPr>
      <w:r>
        <w:rPr>
          <w:rFonts w:hint="eastAsia"/>
        </w:rPr>
        <w:t>培育壮苗时，应禁止使用国家明令禁止使用的药剂。</w:t>
      </w:r>
    </w:p>
    <w:p>
      <w:pPr>
        <w:pStyle w:val="22"/>
        <w:numPr>
          <w:ilvl w:val="0"/>
          <w:numId w:val="10"/>
        </w:numPr>
        <w:spacing w:line="300" w:lineRule="auto"/>
        <w:rPr>
          <w:rFonts w:ascii="宋体" w:cs="宋体"/>
          <w:kern w:val="0"/>
          <w:szCs w:val="21"/>
        </w:rPr>
      </w:pPr>
      <w:r>
        <w:rPr>
          <w:rFonts w:hint="eastAsia" w:ascii="黑体" w:hAnsi="黑体" w:eastAsia="黑体" w:cs="黑体"/>
        </w:rPr>
        <w:t>田间管理</w:t>
      </w:r>
    </w:p>
    <w:p>
      <w:pPr>
        <w:pStyle w:val="22"/>
        <w:numPr>
          <w:ilvl w:val="0"/>
          <w:numId w:val="11"/>
        </w:numPr>
        <w:spacing w:line="300" w:lineRule="auto"/>
      </w:pPr>
      <w:r>
        <w:rPr>
          <w:rFonts w:hint="eastAsia" w:ascii="宋体" w:cs="宋体"/>
          <w:kern w:val="0"/>
          <w:szCs w:val="21"/>
        </w:rPr>
        <w:t>宜通过轮作、间套作、种植绿肥和秸秆还田等措施以改良土壤和保持土壤肥力。应针对土壤性质、作物需肥量等规律，进行科学施肥，控制肥料使用种类和数量。应使用安全、优质的肥料产品。</w:t>
      </w:r>
    </w:p>
    <w:p>
      <w:pPr>
        <w:pStyle w:val="22"/>
        <w:spacing w:line="300" w:lineRule="auto"/>
        <w:ind w:left="420" w:firstLine="0" w:firstLineChars="0"/>
      </w:pPr>
      <w:r>
        <w:rPr>
          <w:rFonts w:hint="eastAsia" w:ascii="宋体" w:cs="宋体"/>
          <w:kern w:val="0"/>
          <w:szCs w:val="21"/>
        </w:rPr>
        <w:t>应</w:t>
      </w:r>
      <w:r>
        <w:rPr>
          <w:rFonts w:hint="eastAsia"/>
        </w:rPr>
        <w:t>严格遵守国家相关规定，不使用城市垃圾和未经无害化处理的人类生活的污水淤泥。</w:t>
      </w:r>
    </w:p>
    <w:p>
      <w:pPr>
        <w:pStyle w:val="22"/>
        <w:numPr>
          <w:ilvl w:val="0"/>
          <w:numId w:val="11"/>
        </w:numPr>
        <w:spacing w:line="300" w:lineRule="auto"/>
      </w:pPr>
      <w:r>
        <w:rPr>
          <w:rFonts w:hint="eastAsia"/>
        </w:rPr>
        <w:t>有害生物防治</w:t>
      </w:r>
      <w:r>
        <w:rPr>
          <w:rFonts w:hint="eastAsia" w:ascii="宋体" w:cs="宋体"/>
          <w:kern w:val="0"/>
          <w:szCs w:val="21"/>
        </w:rPr>
        <w:t>应遵循“预防为主，综合防治”的原则。</w:t>
      </w:r>
    </w:p>
    <w:p>
      <w:pPr>
        <w:pStyle w:val="22"/>
        <w:spacing w:line="300" w:lineRule="auto"/>
      </w:pPr>
      <w:r>
        <w:rPr>
          <w:rFonts w:hint="eastAsia" w:ascii="宋体" w:cs="宋体"/>
          <w:kern w:val="0"/>
          <w:szCs w:val="21"/>
        </w:rPr>
        <w:t>应对有害生物监测，按照有害生物发生规律适时防治。</w:t>
      </w:r>
      <w:r>
        <w:rPr>
          <w:rFonts w:hint="eastAsia"/>
        </w:rPr>
        <w:t>宜采用物理防治、生物防治为重点的综合防治策略，化学防治要选择高效、低毒、低残留的农药，禁止使用国家禁用农药。</w:t>
      </w:r>
    </w:p>
    <w:p>
      <w:pPr>
        <w:pStyle w:val="22"/>
        <w:spacing w:line="300" w:lineRule="auto"/>
        <w:rPr>
          <w:rFonts w:ascii="宋体" w:cs="宋体"/>
          <w:kern w:val="0"/>
          <w:szCs w:val="21"/>
        </w:rPr>
      </w:pPr>
      <w:r>
        <w:rPr>
          <w:rFonts w:hint="eastAsia" w:ascii="宋体" w:cs="宋体"/>
          <w:kern w:val="0"/>
          <w:szCs w:val="21"/>
        </w:rPr>
        <w:t>应针对病、虫、草害或靶标，合理选择植保产品，并严格执行安全间隔期的规定，不得使用国家禁止使用和过期的植保产品。</w:t>
      </w:r>
    </w:p>
    <w:p>
      <w:pPr>
        <w:pStyle w:val="22"/>
        <w:numPr>
          <w:ilvl w:val="0"/>
          <w:numId w:val="11"/>
        </w:numPr>
        <w:spacing w:line="300" w:lineRule="auto"/>
      </w:pPr>
      <w:r>
        <w:rPr>
          <w:rFonts w:hint="eastAsia"/>
        </w:rPr>
        <w:t>农产品生产应根据当地情况选择高效灌溉方式。</w:t>
      </w:r>
    </w:p>
    <w:p>
      <w:pPr>
        <w:pStyle w:val="22"/>
        <w:numPr>
          <w:ilvl w:val="0"/>
          <w:numId w:val="10"/>
        </w:numPr>
        <w:spacing w:line="300" w:lineRule="auto"/>
        <w:rPr>
          <w:rFonts w:ascii="黑体" w:hAnsi="黑体" w:eastAsia="黑体" w:cs="黑体"/>
        </w:rPr>
      </w:pPr>
      <w:bookmarkStart w:id="6" w:name="_bookmark13"/>
      <w:bookmarkEnd w:id="6"/>
      <w:r>
        <w:rPr>
          <w:rFonts w:hint="eastAsia" w:ascii="黑体" w:hAnsi="黑体" w:eastAsia="黑体" w:cs="黑体"/>
        </w:rPr>
        <w:t>投入品管理</w:t>
      </w:r>
    </w:p>
    <w:p>
      <w:pPr>
        <w:pStyle w:val="22"/>
        <w:spacing w:line="300" w:lineRule="auto"/>
      </w:pPr>
      <w:r>
        <w:rPr>
          <w:rFonts w:hint="eastAsia"/>
        </w:rPr>
        <w:t>应从具备生产经营许可证资质的生产或销售单位购买种子、种苗、肥料和药品。</w:t>
      </w:r>
    </w:p>
    <w:p>
      <w:pPr>
        <w:pStyle w:val="22"/>
        <w:spacing w:line="300" w:lineRule="auto"/>
      </w:pPr>
      <w:r>
        <w:rPr>
          <w:rFonts w:hint="eastAsia"/>
        </w:rPr>
        <w:t>投入品应有专门的地方进行储存，并有专人进行管理，避免污染。</w:t>
      </w:r>
    </w:p>
    <w:p>
      <w:pPr>
        <w:pStyle w:val="22"/>
        <w:numPr>
          <w:ilvl w:val="0"/>
          <w:numId w:val="10"/>
        </w:numPr>
        <w:spacing w:line="300" w:lineRule="auto"/>
        <w:rPr>
          <w:rFonts w:ascii="黑体" w:hAnsi="黑体" w:eastAsia="黑体" w:cs="黑体"/>
        </w:rPr>
      </w:pPr>
      <w:r>
        <w:rPr>
          <w:rFonts w:hint="eastAsia" w:ascii="黑体" w:hAnsi="黑体" w:eastAsia="黑体" w:cs="黑体"/>
        </w:rPr>
        <w:t>收获后处理</w:t>
      </w:r>
    </w:p>
    <w:p>
      <w:pPr>
        <w:pStyle w:val="22"/>
        <w:numPr>
          <w:ilvl w:val="0"/>
          <w:numId w:val="12"/>
        </w:numPr>
        <w:spacing w:line="300" w:lineRule="auto"/>
      </w:pPr>
      <w:r>
        <w:rPr>
          <w:rFonts w:hint="eastAsia"/>
        </w:rPr>
        <w:t>植物产品在场需要清洁、分拣、脱粒、脱壳、切割、保鲜、干燥等简单加工过程应采用物理、生物的方法进行处理；</w:t>
      </w:r>
    </w:p>
    <w:p>
      <w:pPr>
        <w:pStyle w:val="22"/>
        <w:numPr>
          <w:ilvl w:val="0"/>
          <w:numId w:val="12"/>
        </w:numPr>
        <w:spacing w:line="300" w:lineRule="auto"/>
      </w:pPr>
      <w:r>
        <w:rPr>
          <w:rFonts w:hint="eastAsia"/>
        </w:rPr>
        <w:t>用于初加工的设备应在处理前清理干净，对不易清理的处理设备可采取高压喷淋、擦拭等有效措施；</w:t>
      </w:r>
    </w:p>
    <w:p>
      <w:pPr>
        <w:pStyle w:val="22"/>
        <w:numPr>
          <w:ilvl w:val="0"/>
          <w:numId w:val="12"/>
        </w:numPr>
        <w:spacing w:line="300" w:lineRule="auto"/>
      </w:pPr>
      <w:r>
        <w:rPr>
          <w:rFonts w:hint="eastAsia"/>
        </w:rPr>
        <w:t>设备器具应保证清洁，不得对产品造成污染；</w:t>
      </w:r>
    </w:p>
    <w:p>
      <w:pPr>
        <w:pStyle w:val="22"/>
        <w:spacing w:line="300" w:lineRule="auto"/>
        <w:ind w:firstLine="0" w:firstLineChars="0"/>
        <w:rPr>
          <w:rFonts w:ascii="黑体" w:hAnsi="黑体" w:eastAsia="黑体" w:cs="黑体"/>
        </w:rPr>
      </w:pPr>
      <w:r>
        <w:rPr>
          <w:rFonts w:hint="eastAsia" w:ascii="黑体" w:hAnsi="黑体" w:eastAsia="黑体" w:cs="黑体"/>
        </w:rPr>
        <w:t>4.2.5.2畜禽养殖</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养殖选址</w:t>
      </w:r>
    </w:p>
    <w:p>
      <w:pPr>
        <w:pStyle w:val="22"/>
        <w:spacing w:line="300" w:lineRule="auto"/>
        <w:ind w:left="420" w:firstLine="0" w:firstLineChars="0"/>
      </w:pPr>
      <w:r>
        <w:rPr>
          <w:rFonts w:hint="eastAsia"/>
        </w:rPr>
        <w:t>畜禽养殖场</w:t>
      </w:r>
      <w:r>
        <w:t>场址选择、建设条件和规划布局应符合 NY/T 473 的要求</w:t>
      </w:r>
      <w:r>
        <w:rPr>
          <w:rFonts w:hint="eastAsia"/>
        </w:rPr>
        <w:t>。</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品种引入</w:t>
      </w:r>
    </w:p>
    <w:p>
      <w:pPr>
        <w:pStyle w:val="22"/>
        <w:spacing w:line="300" w:lineRule="auto"/>
      </w:pPr>
      <w:r>
        <w:rPr>
          <w:rFonts w:hint="eastAsia"/>
        </w:rPr>
        <w:t>宜“自繁自养”，自养的种畜禽应定期检验检疫。</w:t>
      </w:r>
    </w:p>
    <w:p>
      <w:pPr>
        <w:pStyle w:val="22"/>
        <w:spacing w:line="300" w:lineRule="auto"/>
      </w:pPr>
      <w:r>
        <w:rPr>
          <w:rFonts w:hint="eastAsia"/>
        </w:rPr>
        <w:t>引进畜禽应来自具有种畜禽生产经营许可证的种畜禽场，按照</w:t>
      </w:r>
      <w:r>
        <w:t xml:space="preserve">GB 16549 </w:t>
      </w:r>
      <w:r>
        <w:rPr>
          <w:rFonts w:hint="eastAsia"/>
        </w:rPr>
        <w:t>的要求实施产地检疫，并取得动物检疫合格证明或无特定动物疫病的证明。对新引进的畜禽，应进行隔离饲养观察，确认健康方可进场饲养。</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饲料及饲料添加剂</w:t>
      </w:r>
    </w:p>
    <w:p>
      <w:pPr>
        <w:pStyle w:val="22"/>
        <w:spacing w:line="300" w:lineRule="auto"/>
      </w:pPr>
      <w:r>
        <w:rPr>
          <w:rFonts w:hint="eastAsia"/>
        </w:rPr>
        <w:t>饲料和饲料添加剂应是国务院农业村管部门公布的《饲料原料目录》、《饲料添加剂品种目录》中的产品；不在目录内的饲料原料和饲料添加剂应是国务院农业农村主管部门批准使用的品种，或是允许进口的饲料和饲料添加剂品种，且使用范围和用量应符合相关规定；本文件颁布实施后，国务院农业农村主管部门公布的不再允许使用的品种，本文件也不再允许使用。</w:t>
      </w:r>
    </w:p>
    <w:p>
      <w:pPr>
        <w:pStyle w:val="22"/>
        <w:spacing w:line="300" w:lineRule="auto"/>
      </w:pPr>
      <w:r>
        <w:rPr>
          <w:rFonts w:hint="eastAsia"/>
        </w:rPr>
        <w:t>使用的饲料原料、饲料添加剂、混合型饲料添加剂、配合饲料、浓缩饲料及饲料添加剂预混合饲料应符合其产品质量标准的规定。</w:t>
      </w:r>
    </w:p>
    <w:p>
      <w:pPr>
        <w:pStyle w:val="22"/>
        <w:spacing w:line="300" w:lineRule="auto"/>
      </w:pPr>
      <w:r>
        <w:rPr>
          <w:rFonts w:hint="eastAsia"/>
        </w:rPr>
        <w:t>根据养殖动物不同阶段的营养需求配制饲料，原料组成宜多样化，营养全面，各营养素间相平衡，饲料的配制应当符合营养、健康、节约、环保的理念。</w:t>
      </w:r>
    </w:p>
    <w:p>
      <w:pPr>
        <w:pStyle w:val="22"/>
        <w:spacing w:line="300" w:lineRule="auto"/>
      </w:pPr>
      <w:r>
        <w:rPr>
          <w:rFonts w:hint="eastAsia"/>
        </w:rPr>
        <w:t>应保证草食动物每天都能得到其营养需要的粗饲料。在其日粮中，粗饲料、鲜草、青干草或青贮饲料等所占的比例不应低于</w:t>
      </w:r>
      <w:r>
        <w:t>60%(</w:t>
      </w:r>
      <w:r>
        <w:rPr>
          <w:rFonts w:hint="eastAsia"/>
        </w:rPr>
        <w:t>以干物质计</w:t>
      </w:r>
      <w:r>
        <w:t>)</w:t>
      </w:r>
      <w:r>
        <w:rPr>
          <w:rFonts w:hint="eastAsia"/>
        </w:rPr>
        <w:t>；对于育肥期肉用畜和泌乳期前</w:t>
      </w:r>
      <w:r>
        <w:t>3</w:t>
      </w:r>
      <w:r>
        <w:rPr>
          <w:rFonts w:hint="eastAsia"/>
        </w:rPr>
        <w:t>个月的乳用畜，此比例可降低为</w:t>
      </w:r>
      <w:r>
        <w:t xml:space="preserve"> 50%(</w:t>
      </w:r>
      <w:r>
        <w:rPr>
          <w:rFonts w:hint="eastAsia"/>
        </w:rPr>
        <w:t>以干物质计</w:t>
      </w:r>
      <w:r>
        <w:t>)</w:t>
      </w:r>
      <w:r>
        <w:rPr>
          <w:rFonts w:hint="eastAsia"/>
        </w:rPr>
        <w:t>。</w:t>
      </w:r>
    </w:p>
    <w:p>
      <w:pPr>
        <w:pStyle w:val="22"/>
        <w:spacing w:line="300" w:lineRule="auto"/>
      </w:pPr>
      <w:r>
        <w:rPr>
          <w:rFonts w:hint="eastAsia"/>
        </w:rPr>
        <w:t>饲料的卫生指标应符合</w:t>
      </w:r>
      <w:r>
        <w:t xml:space="preserve">GB 13078 </w:t>
      </w:r>
      <w:r>
        <w:rPr>
          <w:rFonts w:hint="eastAsia"/>
        </w:rPr>
        <w:t>的要求，饲料添加剂应符合相应卫生标准的要求。</w:t>
      </w:r>
    </w:p>
    <w:p>
      <w:pPr>
        <w:pStyle w:val="22"/>
        <w:spacing w:line="300" w:lineRule="auto"/>
      </w:pPr>
      <w:r>
        <w:rPr>
          <w:rFonts w:hint="eastAsia"/>
        </w:rPr>
        <w:t>自种植物源饲料应符合</w:t>
      </w:r>
      <w:r>
        <w:t>4.2.5.1</w:t>
      </w:r>
      <w:r>
        <w:rPr>
          <w:rFonts w:hint="eastAsia"/>
        </w:rPr>
        <w:t>的要求。</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饲养管理</w:t>
      </w:r>
    </w:p>
    <w:p>
      <w:pPr>
        <w:pStyle w:val="22"/>
        <w:spacing w:line="300" w:lineRule="auto"/>
      </w:pPr>
      <w:r>
        <w:rPr>
          <w:rFonts w:hint="eastAsia"/>
        </w:rPr>
        <w:t>畜禽的饲养管理和卫生防疫应符合</w:t>
      </w:r>
      <w:r>
        <w:t xml:space="preserve"> NY/T 473 </w:t>
      </w:r>
      <w:r>
        <w:rPr>
          <w:rFonts w:hint="eastAsia"/>
        </w:rPr>
        <w:t>的要求。</w:t>
      </w:r>
    </w:p>
    <w:p>
      <w:pPr>
        <w:pStyle w:val="22"/>
        <w:spacing w:line="300" w:lineRule="auto"/>
      </w:pPr>
      <w:r>
        <w:rPr>
          <w:rFonts w:hint="eastAsia"/>
        </w:rPr>
        <w:t>应每天连续向所有畜禽提供充足、清洁和新鲜的饮用水（除主治兽医师医嘱外）。饮用水质应符合GB 5749 的要求。</w:t>
      </w:r>
    </w:p>
    <w:p>
      <w:pPr>
        <w:pStyle w:val="22"/>
        <w:spacing w:line="300" w:lineRule="auto"/>
      </w:pPr>
      <w:r>
        <w:rPr>
          <w:rFonts w:hint="eastAsia"/>
        </w:rPr>
        <w:t>按照类型、品种和饲养阶段等合理确定畜禽饲养密度，以保证畜禽在正常的站立、转动、伸展翅膀、栖息和蹲下时不会碰到其他畜禽。</w:t>
      </w:r>
    </w:p>
    <w:p>
      <w:pPr>
        <w:pStyle w:val="22"/>
        <w:spacing w:line="300" w:lineRule="auto"/>
      </w:pPr>
      <w:r>
        <w:rPr>
          <w:rFonts w:hint="eastAsia"/>
        </w:rPr>
        <w:t>饲养蛋禽可用人工照明来延长光照时间，但每天的总光照时间不得超过</w:t>
      </w:r>
      <w:r>
        <w:t>16 h</w:t>
      </w:r>
      <w:r>
        <w:rPr>
          <w:rFonts w:hint="eastAsia"/>
        </w:rPr>
        <w:t>。可根据蛋禽健康状况或所处生长期（如：新生禽取暖）等原因，适当增加光照时间。</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疾病防治</w:t>
      </w:r>
    </w:p>
    <w:p>
      <w:pPr>
        <w:pStyle w:val="22"/>
        <w:numPr>
          <w:ilvl w:val="0"/>
          <w:numId w:val="14"/>
        </w:numPr>
        <w:spacing w:line="300" w:lineRule="auto"/>
      </w:pPr>
      <w:r>
        <w:rPr>
          <w:rFonts w:hint="eastAsia"/>
        </w:rPr>
        <w:t>疾病预防应依据以下原则进行</w:t>
      </w:r>
    </w:p>
    <w:p>
      <w:pPr>
        <w:pStyle w:val="22"/>
        <w:spacing w:line="300" w:lineRule="auto"/>
      </w:pPr>
      <w:r>
        <w:rPr>
          <w:rFonts w:hint="eastAsia"/>
        </w:rPr>
        <w:t>根据地区特点选择适应性强、抗病性强的品种。</w:t>
      </w:r>
    </w:p>
    <w:p>
      <w:pPr>
        <w:pStyle w:val="22"/>
        <w:spacing w:line="300" w:lineRule="auto"/>
      </w:pPr>
      <w:r>
        <w:rPr>
          <w:rFonts w:hint="eastAsia"/>
        </w:rPr>
        <w:t>提供优质饲料、适当的营养及合适的运动等饲养管理方法，增强动物的非特异性免疫力。</w:t>
      </w:r>
    </w:p>
    <w:p>
      <w:pPr>
        <w:pStyle w:val="22"/>
        <w:spacing w:line="300" w:lineRule="auto"/>
      </w:pPr>
      <w:r>
        <w:rPr>
          <w:rFonts w:hint="eastAsia"/>
        </w:rPr>
        <w:t>加强设施和环境卫生管理，并保持适宜的动物饲养密度。</w:t>
      </w:r>
    </w:p>
    <w:p>
      <w:pPr>
        <w:pStyle w:val="22"/>
        <w:numPr>
          <w:ilvl w:val="0"/>
          <w:numId w:val="14"/>
        </w:numPr>
        <w:spacing w:line="300" w:lineRule="auto"/>
      </w:pPr>
      <w:r>
        <w:rPr>
          <w:rFonts w:hint="eastAsia"/>
        </w:rPr>
        <w:t>应按经执业兽医认可的疾病防疫计划开展具体的防疫（预防接种、消毒）工作。临时性的紧急接种应由执业兽医或上级监管部门专业技术人员进行指导。</w:t>
      </w:r>
    </w:p>
    <w:p>
      <w:pPr>
        <w:pStyle w:val="22"/>
        <w:spacing w:line="300" w:lineRule="auto"/>
      </w:pPr>
      <w:r>
        <w:rPr>
          <w:rFonts w:hint="eastAsia"/>
        </w:rPr>
        <w:t>必要时，应由执业兽医或在执业兽医指导下对患病畜禽使用国家允许使用的兽药。使用药物预防或治疗后的动物应经过该药物的休药期的</w:t>
      </w:r>
      <w:r>
        <w:t xml:space="preserve"> 2 </w:t>
      </w:r>
      <w:r>
        <w:rPr>
          <w:rFonts w:hint="eastAsia"/>
        </w:rPr>
        <w:t>倍时间（如果</w:t>
      </w:r>
      <w:r>
        <w:t xml:space="preserve"> 2 </w:t>
      </w:r>
      <w:r>
        <w:rPr>
          <w:rFonts w:hint="eastAsia"/>
        </w:rPr>
        <w:t>倍休药期不足</w:t>
      </w:r>
      <w:r>
        <w:t xml:space="preserve"> 48 h</w:t>
      </w:r>
      <w:r>
        <w:rPr>
          <w:rFonts w:hint="eastAsia"/>
        </w:rPr>
        <w:t>，则应达到</w:t>
      </w:r>
      <w:r>
        <w:t xml:space="preserve"> 48 h</w:t>
      </w:r>
      <w:r>
        <w:rPr>
          <w:rFonts w:hint="eastAsia"/>
        </w:rPr>
        <w:t>之后，才能屠宰。）</w:t>
      </w:r>
    </w:p>
    <w:p>
      <w:pPr>
        <w:pStyle w:val="22"/>
        <w:spacing w:line="300" w:lineRule="auto"/>
      </w:pPr>
      <w:r>
        <w:rPr>
          <w:rFonts w:hint="eastAsia"/>
        </w:rPr>
        <w:t>不应使用抗生素、激素、化学合成的抗寄生虫药作为促生长剂。</w:t>
      </w:r>
    </w:p>
    <w:p>
      <w:pPr>
        <w:pStyle w:val="22"/>
        <w:spacing w:line="300" w:lineRule="auto"/>
      </w:pPr>
      <w:r>
        <w:rPr>
          <w:rFonts w:hint="eastAsia"/>
        </w:rPr>
        <w:t>应建立疾病治疗档案，对疾病诊断结果，所用药物名称、厂家、批次、以及给药剂量、方式、</w:t>
      </w:r>
      <w:r>
        <w:t xml:space="preserve"> </w:t>
      </w:r>
      <w:r>
        <w:rPr>
          <w:rFonts w:hint="eastAsia"/>
        </w:rPr>
        <w:t>时间及药物降解期进行记录。对于接受过治疗的畜禽，大型动物应逐个标记，家禽和小型动物则可按群批标记。</w:t>
      </w:r>
    </w:p>
    <w:p>
      <w:pPr>
        <w:pStyle w:val="22"/>
        <w:numPr>
          <w:ilvl w:val="0"/>
          <w:numId w:val="13"/>
        </w:numPr>
        <w:spacing w:line="300" w:lineRule="auto"/>
        <w:ind w:firstLineChars="0"/>
        <w:rPr>
          <w:rFonts w:ascii="黑体" w:hAnsi="黑体" w:eastAsia="黑体" w:cs="黑体"/>
        </w:rPr>
      </w:pPr>
      <w:r>
        <w:rPr>
          <w:rFonts w:hint="eastAsia" w:ascii="黑体" w:hAnsi="黑体" w:eastAsia="黑体" w:cs="黑体"/>
        </w:rPr>
        <w:t>屠宰及运输</w:t>
      </w:r>
    </w:p>
    <w:p>
      <w:pPr>
        <w:pStyle w:val="22"/>
        <w:spacing w:line="300" w:lineRule="auto"/>
      </w:pPr>
      <w:r>
        <w:rPr>
          <w:rFonts w:hint="eastAsia"/>
        </w:rPr>
        <w:t>畜禽在装卸、运输，待宰和屠宰期间都应有清楚的标记，易于识别；其他畜禽产品在装卸、运输、出入库时也应有清楚的标记，易于识别。</w:t>
      </w:r>
    </w:p>
    <w:p>
      <w:pPr>
        <w:pStyle w:val="22"/>
        <w:spacing w:line="300" w:lineRule="auto"/>
      </w:pPr>
      <w:r>
        <w:rPr>
          <w:rFonts w:hint="eastAsia"/>
        </w:rPr>
        <w:t>运输和宰杀动物的操作应力求平和，并合乎动物福利原则。不应使用电棍及类似设备驱赶动物。不应在运输前和运输过程中对动物使用化学合成的镇静剂。应在具有资质的屠宰场进行屠宰，且应确保良好的卫生条件。</w:t>
      </w:r>
    </w:p>
    <w:p>
      <w:pPr>
        <w:pStyle w:val="22"/>
        <w:spacing w:line="300" w:lineRule="auto"/>
        <w:ind w:firstLine="0" w:firstLineChars="0"/>
        <w:rPr>
          <w:rFonts w:ascii="黑体" w:hAnsi="黑体" w:eastAsia="黑体" w:cs="黑体"/>
        </w:rPr>
      </w:pPr>
      <w:r>
        <w:rPr>
          <w:rFonts w:hint="eastAsia" w:ascii="黑体" w:hAnsi="黑体" w:eastAsia="黑体" w:cs="黑体"/>
        </w:rPr>
        <w:t>4.2.5.3水产养殖</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养殖选址</w:t>
      </w:r>
    </w:p>
    <w:p>
      <w:pPr>
        <w:pStyle w:val="22"/>
        <w:spacing w:line="300" w:lineRule="auto"/>
      </w:pPr>
      <w:r>
        <w:rPr>
          <w:rFonts w:hint="eastAsia"/>
        </w:rPr>
        <w:t>水产养殖区域内不存在对养殖环境构成威胁的污染源。水源充足，水质良好，供电稳定。养殖场不应位于自然环境保护区内。</w:t>
      </w:r>
    </w:p>
    <w:p>
      <w:pPr>
        <w:pStyle w:val="22"/>
        <w:spacing w:line="300" w:lineRule="auto"/>
      </w:pPr>
      <w:r>
        <w:rPr>
          <w:rFonts w:hint="eastAsia"/>
        </w:rPr>
        <w:t>水产养殖场内设施布局合理，养殖区管理办公和生活区分开。</w:t>
      </w:r>
    </w:p>
    <w:p>
      <w:pPr>
        <w:pStyle w:val="22"/>
        <w:spacing w:line="300" w:lineRule="auto"/>
      </w:pPr>
      <w:r>
        <w:rPr>
          <w:rFonts w:hint="eastAsia"/>
        </w:rPr>
        <w:t>水产养殖场的设施（如:贮水池、水源或饲养设备等）满足养殖需要，并保持良好的维护保养状态。</w:t>
      </w:r>
    </w:p>
    <w:p>
      <w:pPr>
        <w:pStyle w:val="22"/>
        <w:spacing w:line="300" w:lineRule="auto"/>
      </w:pPr>
      <w:r>
        <w:rPr>
          <w:rFonts w:hint="eastAsia"/>
        </w:rPr>
        <w:t>水产养殖场的进排水设施应独立分开，避免进水受到污染。</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品种引入</w:t>
      </w:r>
    </w:p>
    <w:p>
      <w:pPr>
        <w:pStyle w:val="22"/>
        <w:spacing w:line="300" w:lineRule="auto"/>
      </w:pPr>
      <w:r>
        <w:rPr>
          <w:rFonts w:hint="eastAsia"/>
        </w:rPr>
        <w:t>水产养殖场亲本来源清晰，符合国家规定。养殖场应遵守政府有关亲本进口的规定,有相关证书以证明亲本健康无疫病。外购亲本或后备亲本应来自于行政主管部门批准并有水产苗种生产许可证的种苗场，并提供检疫证书。亲本到达育苗场时，应立即隔离检疫，直到核实其疾病状况，并且在转移到其他区域前应至少隔离 20 d。</w:t>
      </w:r>
    </w:p>
    <w:p>
      <w:pPr>
        <w:pStyle w:val="22"/>
        <w:spacing w:line="300" w:lineRule="auto"/>
      </w:pPr>
      <w:r>
        <w:rPr>
          <w:rFonts w:hint="eastAsia"/>
        </w:rPr>
        <w:t>水产养殖场应遵守政府有关苗种进口的规定，有相关证书以证明苗种健康无疫病。苗种应购自行政主管部门批准并有水产苗种生产许可证的种苗场。</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饲料及饲料添加剂</w:t>
      </w:r>
    </w:p>
    <w:p>
      <w:pPr>
        <w:pStyle w:val="22"/>
        <w:spacing w:line="300" w:lineRule="auto"/>
      </w:pPr>
      <w:r>
        <w:rPr>
          <w:rFonts w:hint="eastAsia"/>
        </w:rPr>
        <w:t>采购的渔用饲料和饲料添加剂应来源于相关行政主管部门批准的生产企业，在《饲料添加剂品种目录》中。进口饲料和饲料添加剂应索取进口登记证、检验检疫部门检测合格的报告。</w:t>
      </w:r>
    </w:p>
    <w:p>
      <w:pPr>
        <w:pStyle w:val="22"/>
        <w:spacing w:line="300" w:lineRule="auto"/>
      </w:pPr>
      <w:r>
        <w:rPr>
          <w:rFonts w:hint="eastAsia"/>
        </w:rPr>
        <w:t>自配渔用饲料的原料采购应符合法律法规的规定，配方应由有资质的人员提供，饲料营养配比应满足不同阶段养殖品种的营养要求。</w:t>
      </w:r>
    </w:p>
    <w:p>
      <w:pPr>
        <w:pStyle w:val="22"/>
        <w:spacing w:line="300" w:lineRule="auto"/>
      </w:pPr>
      <w:r>
        <w:rPr>
          <w:rFonts w:hint="eastAsia"/>
        </w:rPr>
        <w:t>饲料的卫生指标应符合GB 13078 的要求，饲料添加剂应符合相应卫生标准的要求。</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饲养管理</w:t>
      </w:r>
    </w:p>
    <w:p>
      <w:pPr>
        <w:pStyle w:val="22"/>
        <w:spacing w:line="300" w:lineRule="auto"/>
      </w:pPr>
      <w:r>
        <w:rPr>
          <w:rFonts w:hint="eastAsia"/>
        </w:rPr>
        <w:t>应采取适合养殖对象生理习性和当地条件的养殖方法,保证养殖对象的健康，满足其基本生活需要。不应采取永久性增氧养殖方式。</w:t>
      </w:r>
    </w:p>
    <w:p>
      <w:pPr>
        <w:pStyle w:val="22"/>
        <w:spacing w:line="300" w:lineRule="auto"/>
      </w:pPr>
      <w:r>
        <w:rPr>
          <w:rFonts w:hint="eastAsia"/>
        </w:rPr>
        <w:t>不应对养殖对象采取任何人为伤害措施。</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疾病防治</w:t>
      </w:r>
    </w:p>
    <w:p>
      <w:pPr>
        <w:pStyle w:val="22"/>
        <w:spacing w:line="300" w:lineRule="auto"/>
      </w:pPr>
      <w:r>
        <w:rPr>
          <w:rFonts w:hint="eastAsia"/>
        </w:rPr>
        <w:t>应制定书面的病害防治计划并有效实施，每年进行审核和修订。内容应体现在：疾病预防和治疗计划、主要病害、环境治理措施、防治方案等。</w:t>
      </w:r>
    </w:p>
    <w:p>
      <w:pPr>
        <w:pStyle w:val="22"/>
        <w:spacing w:line="300" w:lineRule="auto"/>
      </w:pPr>
      <w:r>
        <w:rPr>
          <w:rFonts w:hint="eastAsia"/>
        </w:rPr>
        <w:t>渔药应来自于具有生产许可证或进口登记许可证的生产单位或供应商,并做好采购记录。所购渔药应符合产品消费地的法律法规要求。</w:t>
      </w:r>
    </w:p>
    <w:p>
      <w:pPr>
        <w:pStyle w:val="22"/>
        <w:spacing w:line="300" w:lineRule="auto"/>
      </w:pPr>
      <w:r>
        <w:rPr>
          <w:rFonts w:hint="eastAsia" w:ascii="宋体" w:cs="宋体"/>
          <w:kern w:val="0"/>
          <w:szCs w:val="21"/>
        </w:rPr>
        <w:t>渔药的剂量应按处方或应严格按药品说明书执行。</w:t>
      </w:r>
    </w:p>
    <w:p>
      <w:pPr>
        <w:pStyle w:val="22"/>
        <w:numPr>
          <w:ilvl w:val="0"/>
          <w:numId w:val="15"/>
        </w:numPr>
        <w:spacing w:line="300" w:lineRule="auto"/>
        <w:ind w:firstLineChars="0"/>
        <w:rPr>
          <w:rFonts w:ascii="黑体" w:hAnsi="黑体" w:eastAsia="黑体" w:cs="黑体"/>
        </w:rPr>
      </w:pPr>
      <w:r>
        <w:rPr>
          <w:rFonts w:hint="eastAsia" w:ascii="黑体" w:hAnsi="黑体" w:eastAsia="黑体" w:cs="黑体"/>
        </w:rPr>
        <w:t>捕捞、屠宰和运输</w:t>
      </w:r>
    </w:p>
    <w:p>
      <w:pPr>
        <w:pStyle w:val="22"/>
        <w:spacing w:line="300" w:lineRule="auto"/>
      </w:pPr>
      <w:r>
        <w:rPr>
          <w:rFonts w:hint="eastAsia"/>
        </w:rPr>
        <w:t>尽可能采用温和的捕捞措施，以使对水生生物的应激和不利影响降至最小程度。</w:t>
      </w:r>
    </w:p>
    <w:p>
      <w:pPr>
        <w:pStyle w:val="22"/>
        <w:spacing w:line="300" w:lineRule="auto"/>
      </w:pPr>
      <w:r>
        <w:rPr>
          <w:rFonts w:hint="eastAsia"/>
        </w:rPr>
        <w:t>运输用水的水质、水温、含氧量，pH 值，以及水生动物的装载密度应适应所运输物种的需求。</w:t>
      </w:r>
    </w:p>
    <w:p>
      <w:pPr>
        <w:pStyle w:val="22"/>
        <w:spacing w:line="300" w:lineRule="auto"/>
      </w:pPr>
      <w:r>
        <w:rPr>
          <w:rFonts w:hint="eastAsia"/>
        </w:rPr>
        <w:t>宰杀的管理和技术应充分考虑水生动物的生理和行为，并合乎动物福利原则。</w:t>
      </w:r>
    </w:p>
    <w:p>
      <w:pPr>
        <w:pStyle w:val="22"/>
        <w:spacing w:line="300" w:lineRule="auto"/>
      </w:pPr>
      <w:r>
        <w:rPr>
          <w:rFonts w:hint="eastAsia"/>
        </w:rPr>
        <w:t>在宰杀过程中，应尽量减少对水生动物的协迫并减少其痛苦。</w:t>
      </w:r>
    </w:p>
    <w:p>
      <w:pPr>
        <w:pStyle w:val="22"/>
        <w:spacing w:line="300" w:lineRule="auto"/>
        <w:ind w:firstLine="0" w:firstLineChars="0"/>
        <w:rPr>
          <w:rFonts w:ascii="黑体" w:hAnsi="黑体" w:eastAsia="黑体" w:cs="黑体"/>
        </w:rPr>
      </w:pPr>
      <w:r>
        <w:rPr>
          <w:rFonts w:hint="eastAsia" w:ascii="黑体" w:hAnsi="黑体" w:eastAsia="黑体" w:cs="黑体"/>
        </w:rPr>
        <w:t>4.2.5.4蜜蜂养殖</w:t>
      </w:r>
    </w:p>
    <w:p>
      <w:pPr>
        <w:pStyle w:val="22"/>
        <w:numPr>
          <w:ilvl w:val="0"/>
          <w:numId w:val="16"/>
        </w:numPr>
        <w:spacing w:line="300" w:lineRule="auto"/>
        <w:ind w:firstLineChars="0"/>
        <w:rPr>
          <w:rFonts w:ascii="黑体" w:hAnsi="黑体" w:eastAsia="黑体" w:cs="黑体"/>
        </w:rPr>
      </w:pPr>
      <w:r>
        <w:rPr>
          <w:rFonts w:hint="eastAsia" w:ascii="黑体" w:hAnsi="黑体" w:eastAsia="黑体" w:cs="黑体"/>
        </w:rPr>
        <w:t>养殖选址</w:t>
      </w:r>
    </w:p>
    <w:p>
      <w:pPr>
        <w:pStyle w:val="22"/>
        <w:spacing w:line="300" w:lineRule="auto"/>
      </w:pPr>
      <w:r>
        <w:rPr>
          <w:rFonts w:hint="eastAsia"/>
        </w:rPr>
        <w:t>蜜蜂养殖的</w:t>
      </w:r>
      <w:r>
        <w:t>采蜜区应有充足的花粉、蜜源植物，并靠近清洁的水源</w:t>
      </w:r>
      <w:r>
        <w:rPr>
          <w:rFonts w:hint="eastAsia"/>
        </w:rPr>
        <w:t>，</w:t>
      </w:r>
      <w:r>
        <w:t>蜂箱</w:t>
      </w:r>
      <w:r>
        <w:rPr>
          <w:rFonts w:hint="eastAsia"/>
        </w:rPr>
        <w:t>应距离</w:t>
      </w:r>
      <w:r>
        <w:t>城镇、工业污染源、公路和铁路、垃圾填埋场、垃圾焚烧厂等至少 3 km 之外</w:t>
      </w:r>
      <w:r>
        <w:rPr>
          <w:rFonts w:hint="eastAsia"/>
        </w:rPr>
        <w:t>。在离蜂场半径 5 km 的范围内应无农药厂、农药仓库和以蜜、糖为原料的食品厂。</w:t>
      </w:r>
    </w:p>
    <w:p>
      <w:pPr>
        <w:pStyle w:val="22"/>
        <w:numPr>
          <w:ilvl w:val="0"/>
          <w:numId w:val="16"/>
        </w:numPr>
        <w:spacing w:line="300" w:lineRule="auto"/>
        <w:ind w:firstLineChars="0"/>
        <w:rPr>
          <w:rFonts w:ascii="黑体" w:hAnsi="黑体" w:eastAsia="黑体" w:cs="黑体"/>
        </w:rPr>
      </w:pPr>
      <w:r>
        <w:rPr>
          <w:rFonts w:hint="eastAsia" w:ascii="黑体" w:hAnsi="黑体" w:eastAsia="黑体" w:cs="黑体"/>
        </w:rPr>
        <w:t>品种引入</w:t>
      </w:r>
    </w:p>
    <w:p>
      <w:pPr>
        <w:pStyle w:val="22"/>
        <w:spacing w:line="300" w:lineRule="auto"/>
        <w:ind w:left="420" w:firstLine="0" w:firstLineChars="0"/>
      </w:pPr>
      <w:r>
        <w:rPr>
          <w:rFonts w:hint="eastAsia"/>
        </w:rPr>
        <w:t>应引进健康、优势蜂种。</w:t>
      </w:r>
    </w:p>
    <w:p>
      <w:pPr>
        <w:pStyle w:val="22"/>
        <w:numPr>
          <w:ilvl w:val="0"/>
          <w:numId w:val="16"/>
        </w:numPr>
        <w:spacing w:line="300" w:lineRule="auto"/>
        <w:ind w:firstLineChars="0"/>
        <w:rPr>
          <w:spacing w:val="6"/>
          <w:sz w:val="20"/>
          <w:szCs w:val="20"/>
        </w:rPr>
      </w:pPr>
      <w:r>
        <w:rPr>
          <w:rFonts w:hint="eastAsia" w:ascii="黑体" w:hAnsi="黑体" w:eastAsia="黑体" w:cs="黑体"/>
        </w:rPr>
        <w:t>饲料及饲料添加剂</w:t>
      </w:r>
    </w:p>
    <w:p>
      <w:pPr>
        <w:pStyle w:val="22"/>
        <w:spacing w:line="300" w:lineRule="auto"/>
      </w:pPr>
      <w:r>
        <w:rPr>
          <w:rFonts w:hint="eastAsia"/>
        </w:rPr>
        <w:t>采购的饲料应来源于相关行政主管部门批准的生产企业。</w:t>
      </w:r>
    </w:p>
    <w:p>
      <w:pPr>
        <w:pStyle w:val="22"/>
        <w:spacing w:line="300" w:lineRule="auto"/>
      </w:pPr>
      <w:r>
        <w:rPr>
          <w:rFonts w:hint="eastAsia"/>
        </w:rPr>
        <w:t>提供蜂群的饲料应符合卫生安全要求，能提供蜂群持续健康生长、发展所需要的营养。</w:t>
      </w:r>
    </w:p>
    <w:p>
      <w:pPr>
        <w:pStyle w:val="22"/>
        <w:spacing w:line="300" w:lineRule="auto"/>
      </w:pPr>
      <w:r>
        <w:rPr>
          <w:rFonts w:hint="eastAsia"/>
        </w:rPr>
        <w:t>适时补充饲料或奖励饲喂；留足越冬饲料，越冬后期注意补充饲料。</w:t>
      </w:r>
    </w:p>
    <w:p>
      <w:pPr>
        <w:pStyle w:val="22"/>
        <w:numPr>
          <w:ilvl w:val="0"/>
          <w:numId w:val="16"/>
        </w:numPr>
        <w:spacing w:line="300" w:lineRule="auto"/>
        <w:ind w:firstLineChars="0"/>
        <w:rPr>
          <w:rFonts w:ascii="黑体" w:hAnsi="黑体" w:eastAsia="黑体" w:cs="黑体"/>
        </w:rPr>
      </w:pPr>
      <w:r>
        <w:rPr>
          <w:rFonts w:hint="eastAsia" w:ascii="黑体" w:hAnsi="黑体" w:eastAsia="黑体" w:cs="黑体"/>
        </w:rPr>
        <w:t>饲养管理</w:t>
      </w:r>
    </w:p>
    <w:p>
      <w:pPr>
        <w:pStyle w:val="22"/>
        <w:spacing w:line="300" w:lineRule="auto"/>
      </w:pPr>
      <w:r>
        <w:rPr>
          <w:rFonts w:hint="eastAsia"/>
        </w:rPr>
        <w:t>应有充足的饮水器和清洁水，以满足蜂群用水需要。应制定不同光照条件下，管理蜂箱和蜂群的措施。应保持蜂箱的温度相对稳定并通风良好。根据季节采取适当的控温措施。</w:t>
      </w:r>
    </w:p>
    <w:p>
      <w:pPr>
        <w:pStyle w:val="22"/>
        <w:numPr>
          <w:ilvl w:val="0"/>
          <w:numId w:val="16"/>
        </w:numPr>
        <w:spacing w:line="300" w:lineRule="auto"/>
        <w:ind w:firstLineChars="0"/>
        <w:rPr>
          <w:rFonts w:ascii="黑体" w:hAnsi="黑体" w:eastAsia="黑体" w:cs="黑体"/>
        </w:rPr>
      </w:pPr>
      <w:r>
        <w:rPr>
          <w:rFonts w:hint="eastAsia" w:ascii="黑体" w:hAnsi="黑体" w:eastAsia="黑体" w:cs="黑体"/>
        </w:rPr>
        <w:t>疾病防治</w:t>
      </w:r>
    </w:p>
    <w:p>
      <w:pPr>
        <w:pStyle w:val="22"/>
        <w:spacing w:line="300" w:lineRule="auto"/>
      </w:pPr>
      <w:r>
        <w:rPr>
          <w:rFonts w:hint="eastAsia"/>
        </w:rPr>
        <w:t>采取综合措施培养蜂群，提高蜂群自身的抗逆能力。必要时采用药物治疗蜂群疾病蜂药使用应符合相关法律、法规、规章及有关标准的要求。使用蜂药时</w:t>
      </w:r>
      <w:r>
        <w:t>,</w:t>
      </w:r>
      <w:r>
        <w:rPr>
          <w:rFonts w:hint="eastAsia"/>
        </w:rPr>
        <w:t>应由具有养殖或病害专业等相关资质人员开出处方。应记载并保持所有蜂群用药的记录。对于已接受药物治疗的蜂群，应规定适当的休药期。</w:t>
      </w:r>
    </w:p>
    <w:p>
      <w:pPr>
        <w:pStyle w:val="22"/>
        <w:numPr>
          <w:ilvl w:val="0"/>
          <w:numId w:val="16"/>
        </w:numPr>
        <w:spacing w:line="300" w:lineRule="auto"/>
        <w:ind w:firstLineChars="0"/>
        <w:rPr>
          <w:rFonts w:ascii="黑体" w:hAnsi="黑体" w:eastAsia="黑体" w:cs="黑体"/>
        </w:rPr>
      </w:pPr>
      <w:r>
        <w:rPr>
          <w:rFonts w:hint="eastAsia" w:ascii="黑体" w:hAnsi="黑体" w:eastAsia="黑体" w:cs="黑体"/>
        </w:rPr>
        <w:t>蜂蜜收获与处理</w:t>
      </w:r>
    </w:p>
    <w:p>
      <w:pPr>
        <w:pStyle w:val="22"/>
        <w:spacing w:line="300" w:lineRule="auto"/>
      </w:pPr>
      <w:r>
        <w:rPr>
          <w:rFonts w:hint="eastAsia"/>
        </w:rPr>
        <w:t>蜜蜂产品采收期间，生产群不应使用任何蜂药；在休药期内不得采收任何蜜蜂产品。</w:t>
      </w:r>
    </w:p>
    <w:p>
      <w:pPr>
        <w:pStyle w:val="22"/>
      </w:pPr>
      <w:r>
        <w:rPr>
          <w:rFonts w:hint="eastAsia" w:ascii="宋体" w:cs="宋体"/>
          <w:kern w:val="0"/>
          <w:szCs w:val="21"/>
        </w:rPr>
        <w:t>存放蜂蜜应使用专用的容器。</w:t>
      </w:r>
    </w:p>
    <w:p>
      <w:pPr>
        <w:pStyle w:val="22"/>
        <w:spacing w:line="300" w:lineRule="auto"/>
        <w:ind w:firstLine="0" w:firstLineChars="0"/>
        <w:rPr>
          <w:rFonts w:ascii="黑体" w:hAnsi="黑体" w:eastAsia="黑体" w:cs="黑体"/>
        </w:rPr>
      </w:pPr>
      <w:r>
        <w:rPr>
          <w:rFonts w:hint="eastAsia" w:ascii="黑体" w:hAnsi="黑体" w:eastAsia="黑体" w:cs="黑体"/>
        </w:rPr>
        <w:t>4.2.5.5加工</w:t>
      </w:r>
    </w:p>
    <w:p>
      <w:pPr>
        <w:pStyle w:val="22"/>
        <w:numPr>
          <w:ilvl w:val="0"/>
          <w:numId w:val="17"/>
        </w:numPr>
        <w:spacing w:line="300" w:lineRule="auto"/>
      </w:pPr>
      <w:bookmarkStart w:id="7" w:name="_bookmark16"/>
      <w:bookmarkEnd w:id="7"/>
      <w:r>
        <w:rPr>
          <w:rFonts w:hint="eastAsia"/>
        </w:rPr>
        <w:t>加工厂应符合GB 14881的要求；</w:t>
      </w:r>
    </w:p>
    <w:p>
      <w:pPr>
        <w:pStyle w:val="22"/>
        <w:numPr>
          <w:ilvl w:val="0"/>
          <w:numId w:val="17"/>
        </w:numPr>
        <w:spacing w:line="300" w:lineRule="auto"/>
      </w:pPr>
      <w:r>
        <w:rPr>
          <w:rFonts w:hint="eastAsia"/>
        </w:rPr>
        <w:t>加工使用的食品添加剂和加工助剂应符合相关国家标准要求；</w:t>
      </w:r>
    </w:p>
    <w:p>
      <w:pPr>
        <w:pStyle w:val="22"/>
        <w:numPr>
          <w:ilvl w:val="0"/>
          <w:numId w:val="17"/>
        </w:numPr>
        <w:spacing w:line="300" w:lineRule="auto"/>
      </w:pPr>
      <w:r>
        <w:rPr>
          <w:rFonts w:hint="eastAsia"/>
        </w:rPr>
        <w:t>生产加工用水应符合GB 5749的要求；</w:t>
      </w:r>
    </w:p>
    <w:p>
      <w:pPr>
        <w:pStyle w:val="22"/>
        <w:numPr>
          <w:ilvl w:val="0"/>
          <w:numId w:val="17"/>
        </w:numPr>
        <w:spacing w:line="300" w:lineRule="auto"/>
      </w:pPr>
      <w:r>
        <w:rPr>
          <w:rFonts w:hint="eastAsia"/>
        </w:rPr>
        <w:t>生产加工设备应保证清洁，不得对产品造成污染。</w:t>
      </w:r>
    </w:p>
    <w:p>
      <w:pPr>
        <w:pStyle w:val="22"/>
        <w:spacing w:line="300" w:lineRule="auto"/>
        <w:ind w:firstLine="0" w:firstLineChars="0"/>
        <w:rPr>
          <w:rFonts w:ascii="黑体" w:hAnsi="黑体" w:eastAsia="黑体" w:cs="黑体"/>
        </w:rPr>
      </w:pPr>
      <w:r>
        <w:rPr>
          <w:rFonts w:hint="eastAsia" w:ascii="黑体" w:hAnsi="黑体" w:eastAsia="黑体" w:cs="黑体"/>
        </w:rPr>
        <w:t>4.2.5.6产品包装</w:t>
      </w:r>
    </w:p>
    <w:p>
      <w:pPr>
        <w:pStyle w:val="22"/>
        <w:numPr>
          <w:ilvl w:val="0"/>
          <w:numId w:val="18"/>
        </w:numPr>
        <w:spacing w:line="300" w:lineRule="auto"/>
      </w:pPr>
      <w:r>
        <w:rPr>
          <w:rFonts w:hint="eastAsia"/>
        </w:rPr>
        <w:t>产品包装材料应符合相关的食品安全法规，并符合产品的预期用途，储运条件应与包装的要求相适宜；</w:t>
      </w:r>
    </w:p>
    <w:p>
      <w:pPr>
        <w:pStyle w:val="22"/>
        <w:numPr>
          <w:ilvl w:val="0"/>
          <w:numId w:val="18"/>
        </w:numPr>
        <w:spacing w:line="300" w:lineRule="auto"/>
      </w:pPr>
      <w:r>
        <w:rPr>
          <w:rFonts w:hint="eastAsia"/>
        </w:rPr>
        <w:t>内外包装材料应分开存放。</w:t>
      </w:r>
    </w:p>
    <w:p>
      <w:pPr>
        <w:pStyle w:val="22"/>
        <w:spacing w:line="300" w:lineRule="auto"/>
        <w:ind w:firstLine="0" w:firstLineChars="0"/>
        <w:rPr>
          <w:rFonts w:ascii="黑体" w:hAnsi="黑体" w:eastAsia="黑体" w:cs="黑体"/>
        </w:rPr>
      </w:pPr>
      <w:r>
        <w:rPr>
          <w:rFonts w:hint="eastAsia" w:ascii="黑体" w:hAnsi="黑体" w:eastAsia="黑体" w:cs="黑体"/>
        </w:rPr>
        <w:t>4.2.5.7贮存</w:t>
      </w:r>
    </w:p>
    <w:p>
      <w:pPr>
        <w:pStyle w:val="22"/>
        <w:numPr>
          <w:ilvl w:val="0"/>
          <w:numId w:val="19"/>
        </w:numPr>
        <w:spacing w:line="300" w:lineRule="auto"/>
      </w:pPr>
      <w:r>
        <w:rPr>
          <w:rFonts w:hint="eastAsia"/>
        </w:rPr>
        <w:t>应建立并实施程序以确保产品和物料通过标识和 (或) 接收单来达到先进先出的原则或按照客户要求执行，以确保其在保质期内使用；</w:t>
      </w:r>
    </w:p>
    <w:p>
      <w:pPr>
        <w:pStyle w:val="22"/>
        <w:numPr>
          <w:ilvl w:val="0"/>
          <w:numId w:val="19"/>
        </w:numPr>
        <w:spacing w:line="300" w:lineRule="auto"/>
      </w:pPr>
      <w:r>
        <w:rPr>
          <w:rFonts w:hint="eastAsia"/>
        </w:rPr>
        <w:t>宜尽量避免露天存放物料，如需露天储存时，应采取保护措施；</w:t>
      </w:r>
    </w:p>
    <w:p>
      <w:pPr>
        <w:pStyle w:val="22"/>
        <w:numPr>
          <w:ilvl w:val="0"/>
          <w:numId w:val="19"/>
        </w:numPr>
        <w:spacing w:line="300" w:lineRule="auto"/>
      </w:pPr>
      <w:r>
        <w:rPr>
          <w:rFonts w:hint="eastAsia"/>
        </w:rPr>
        <w:t>应储存在清洁、干燥、避光、防雨、防潮、防虫、防鼠、无异味的仓库内，不应与有毒有害物质或水分较高的物质混存，必要时，应建立适应不同产品特征需要的储藏库。</w:t>
      </w:r>
    </w:p>
    <w:p>
      <w:pPr>
        <w:pStyle w:val="22"/>
        <w:spacing w:line="300" w:lineRule="auto"/>
        <w:ind w:firstLine="0" w:firstLineChars="0"/>
        <w:rPr>
          <w:rFonts w:ascii="黑体" w:hAnsi="黑体" w:eastAsia="黑体" w:cs="黑体"/>
        </w:rPr>
      </w:pPr>
      <w:r>
        <w:rPr>
          <w:rFonts w:hint="eastAsia" w:ascii="黑体" w:hAnsi="黑体" w:eastAsia="黑体" w:cs="黑体"/>
        </w:rPr>
        <w:t>4.2.5.8运输</w:t>
      </w:r>
    </w:p>
    <w:p>
      <w:pPr>
        <w:pStyle w:val="22"/>
        <w:numPr>
          <w:ilvl w:val="0"/>
          <w:numId w:val="20"/>
        </w:numPr>
        <w:spacing w:line="300" w:lineRule="auto"/>
      </w:pPr>
      <w:r>
        <w:rPr>
          <w:rFonts w:hint="eastAsia"/>
        </w:rPr>
        <w:t>农产品、食品生产企业应确保所有用于运输原料(包括包装材料) 、半成品和成品的车辆要与其用途相适应；</w:t>
      </w:r>
    </w:p>
    <w:p>
      <w:pPr>
        <w:pStyle w:val="22"/>
        <w:numPr>
          <w:ilvl w:val="0"/>
          <w:numId w:val="20"/>
        </w:numPr>
        <w:spacing w:line="300" w:lineRule="auto"/>
      </w:pPr>
      <w:r>
        <w:rPr>
          <w:rFonts w:hint="eastAsia"/>
        </w:rPr>
        <w:t>在运输农药等危险品时，应考虑相应安全保护措施，并保持良好的清洁状态；</w:t>
      </w:r>
    </w:p>
    <w:p>
      <w:pPr>
        <w:pStyle w:val="22"/>
        <w:numPr>
          <w:ilvl w:val="0"/>
          <w:numId w:val="20"/>
        </w:numPr>
        <w:spacing w:line="300" w:lineRule="auto"/>
      </w:pPr>
      <w:r>
        <w:rPr>
          <w:rFonts w:hint="eastAsia"/>
        </w:rPr>
        <w:t>必要时，应对出货货车的装载、清洗消毒、安全保护措施检查并记录；</w:t>
      </w:r>
    </w:p>
    <w:p>
      <w:pPr>
        <w:pStyle w:val="22"/>
        <w:numPr>
          <w:ilvl w:val="0"/>
          <w:numId w:val="20"/>
        </w:numPr>
        <w:spacing w:line="300" w:lineRule="auto"/>
      </w:pPr>
      <w:r>
        <w:rPr>
          <w:rFonts w:hint="eastAsia"/>
        </w:rPr>
        <w:t>对农产品、食品的运输车辆应制定维护保养要求，定期清理、清洁车辆并按照要求维护保养。</w:t>
      </w:r>
    </w:p>
    <w:p>
      <w:pPr>
        <w:pStyle w:val="22"/>
        <w:spacing w:line="300" w:lineRule="auto"/>
        <w:ind w:firstLine="0" w:firstLineChars="0"/>
        <w:rPr>
          <w:rFonts w:ascii="黑体" w:hAnsi="黑体" w:eastAsia="黑体" w:cs="黑体"/>
        </w:rPr>
      </w:pPr>
      <w:r>
        <w:rPr>
          <w:rFonts w:hint="eastAsia" w:ascii="黑体" w:hAnsi="黑体" w:eastAsia="黑体" w:cs="黑体"/>
        </w:rPr>
        <w:t>4.2.5.9可追溯</w:t>
      </w:r>
    </w:p>
    <w:p>
      <w:pPr>
        <w:pStyle w:val="22"/>
        <w:numPr>
          <w:ilvl w:val="0"/>
          <w:numId w:val="21"/>
        </w:numPr>
        <w:spacing w:line="300" w:lineRule="auto"/>
      </w:pPr>
      <w:r>
        <w:rPr>
          <w:rFonts w:hint="eastAsia"/>
        </w:rPr>
        <w:t>生产企业应建立并实施必要的可追溯程序，并保持记录，以确保成品得以追溯；</w:t>
      </w:r>
    </w:p>
    <w:p>
      <w:pPr>
        <w:pStyle w:val="22"/>
        <w:numPr>
          <w:ilvl w:val="0"/>
          <w:numId w:val="21"/>
        </w:numPr>
        <w:spacing w:line="300" w:lineRule="auto"/>
      </w:pPr>
      <w:r>
        <w:rPr>
          <w:rFonts w:hint="eastAsia"/>
        </w:rPr>
        <w:t>应有充足的产品留样时间（考虑保质期的要求），以备追溯。</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质量检验保证原则</w:t>
      </w:r>
    </w:p>
    <w:p>
      <w:pPr>
        <w:pStyle w:val="22"/>
        <w:numPr>
          <w:ilvl w:val="0"/>
          <w:numId w:val="22"/>
        </w:numPr>
        <w:spacing w:line="300" w:lineRule="auto"/>
      </w:pPr>
      <w:r>
        <w:rPr>
          <w:rFonts w:hint="eastAsia"/>
        </w:rPr>
        <w:t>生产企业应建立并实施产品监测制度、不合格品控制制度和产品质量溯源制度，对涉及产品质量、食品安全、合法性及至关重要的指标进行检验分析；</w:t>
      </w:r>
    </w:p>
    <w:p>
      <w:pPr>
        <w:pStyle w:val="22"/>
        <w:numPr>
          <w:ilvl w:val="0"/>
          <w:numId w:val="22"/>
        </w:numPr>
        <w:spacing w:line="300" w:lineRule="auto"/>
      </w:pPr>
      <w:r>
        <w:rPr>
          <w:rFonts w:hint="eastAsia"/>
        </w:rPr>
        <w:t>从事分析工作的人员应具有相应的资格，和(或) 接受过培训，并能胜任所承担的分析工作；</w:t>
      </w:r>
    </w:p>
    <w:p>
      <w:pPr>
        <w:pStyle w:val="22"/>
        <w:numPr>
          <w:ilvl w:val="0"/>
          <w:numId w:val="22"/>
        </w:numPr>
        <w:spacing w:line="300" w:lineRule="auto"/>
      </w:pPr>
      <w:r>
        <w:rPr>
          <w:rFonts w:hint="eastAsia"/>
        </w:rPr>
        <w:t>测试结果宜进行定期评估，如认为有食品安全风险存在，应立即停止产品放行；</w:t>
      </w:r>
    </w:p>
    <w:p>
      <w:pPr>
        <w:pStyle w:val="22"/>
        <w:numPr>
          <w:ilvl w:val="0"/>
          <w:numId w:val="22"/>
        </w:numPr>
        <w:spacing w:line="300" w:lineRule="auto"/>
      </w:pPr>
      <w:r>
        <w:rPr>
          <w:rFonts w:hint="eastAsia"/>
        </w:rPr>
        <w:t>鼓励每年定期将农产品、食品送第三方检测机构进行检验；</w:t>
      </w:r>
      <w:bookmarkStart w:id="8" w:name="_bookmark22"/>
      <w:bookmarkEnd w:id="8"/>
      <w:bookmarkStart w:id="9" w:name="_bookmark23"/>
      <w:bookmarkEnd w:id="9"/>
    </w:p>
    <w:p>
      <w:pPr>
        <w:pStyle w:val="22"/>
        <w:numPr>
          <w:ilvl w:val="0"/>
          <w:numId w:val="22"/>
        </w:numPr>
        <w:spacing w:line="300" w:lineRule="auto"/>
      </w:pPr>
      <w:r>
        <w:rPr>
          <w:rFonts w:hint="eastAsia"/>
        </w:rPr>
        <w:t>生产、经营组织应对产品的一致性进行控制，以使产品持续符合规定的要求。</w:t>
      </w:r>
    </w:p>
    <w:p>
      <w:pPr>
        <w:pStyle w:val="42"/>
        <w:adjustRightInd w:val="0"/>
        <w:snapToGrid w:val="0"/>
        <w:spacing w:before="156" w:beforeLines="50" w:after="156" w:afterLines="50" w:line="360" w:lineRule="exact"/>
        <w:rPr>
          <w:rFonts w:ascii="黑体" w:hAnsi="黑体" w:eastAsia="黑体" w:cs="黑体"/>
          <w:color w:val="000000" w:themeColor="text1"/>
          <w14:textFill>
            <w14:solidFill>
              <w14:schemeClr w14:val="tx1"/>
            </w14:solidFill>
          </w14:textFill>
        </w:rPr>
      </w:pPr>
      <w:bookmarkStart w:id="10" w:name="_Hlk119067753"/>
      <w:r>
        <w:rPr>
          <w:rFonts w:hint="eastAsia" w:ascii="黑体" w:hAnsi="黑体" w:eastAsia="黑体" w:cs="黑体"/>
          <w:color w:val="000000" w:themeColor="text1"/>
          <w14:textFill>
            <w14:solidFill>
              <w14:schemeClr w14:val="tx1"/>
            </w14:solidFill>
          </w14:textFill>
        </w:rPr>
        <w:t>品牌信誉提升</w:t>
      </w:r>
      <w:bookmarkEnd w:id="10"/>
      <w:r>
        <w:rPr>
          <w:rFonts w:hint="eastAsia" w:ascii="黑体" w:hAnsi="黑体" w:eastAsia="黑体" w:cs="黑体"/>
          <w:color w:val="000000" w:themeColor="text1"/>
          <w14:textFill>
            <w14:solidFill>
              <w14:schemeClr w14:val="tx1"/>
            </w14:solidFill>
          </w14:textFill>
        </w:rPr>
        <w:t>原则</w:t>
      </w:r>
    </w:p>
    <w:p>
      <w:pPr>
        <w:pStyle w:val="22"/>
        <w:spacing w:line="300" w:lineRule="auto"/>
        <w:rPr>
          <w:color w:val="000000" w:themeColor="text1"/>
          <w14:textFill>
            <w14:solidFill>
              <w14:schemeClr w14:val="tx1"/>
            </w14:solidFill>
          </w14:textFill>
        </w:rPr>
      </w:pPr>
      <w:r>
        <w:rPr>
          <w:rFonts w:hint="eastAsia"/>
        </w:rPr>
        <w:t>生产、经营组织应制定品牌规划，建立</w:t>
      </w:r>
      <w:r>
        <w:rPr>
          <w:rFonts w:hint="eastAsia"/>
          <w:color w:val="000000" w:themeColor="text1"/>
          <w14:textFill>
            <w14:solidFill>
              <w14:schemeClr w14:val="tx1"/>
            </w14:solidFill>
          </w14:textFill>
        </w:rPr>
        <w:t>品牌价值提升方案（包括标识和营销宣传等）、顾客沟通机制、品牌保护机制，并每年进行产品召回演练。</w:t>
      </w: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491645"/>
    </w:sdtPr>
    <w:sdtContent>
      <w:p>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7BDE"/>
    <w:multiLevelType w:val="singleLevel"/>
    <w:tmpl w:val="9A567BDE"/>
    <w:lvl w:ilvl="0" w:tentative="0">
      <w:start w:val="1"/>
      <w:numFmt w:val="decimal"/>
      <w:suff w:val="nothing"/>
      <w:lvlText w:val="%1）"/>
      <w:lvlJc w:val="left"/>
    </w:lvl>
  </w:abstractNum>
  <w:abstractNum w:abstractNumId="1">
    <w:nsid w:val="9F179744"/>
    <w:multiLevelType w:val="singleLevel"/>
    <w:tmpl w:val="9F179744"/>
    <w:lvl w:ilvl="0" w:tentative="0">
      <w:start w:val="1"/>
      <w:numFmt w:val="decimal"/>
      <w:suff w:val="nothing"/>
      <w:lvlText w:val="%1）"/>
      <w:lvlJc w:val="left"/>
    </w:lvl>
  </w:abstractNum>
  <w:abstractNum w:abstractNumId="2">
    <w:nsid w:val="B346A6B5"/>
    <w:multiLevelType w:val="singleLevel"/>
    <w:tmpl w:val="B346A6B5"/>
    <w:lvl w:ilvl="0" w:tentative="0">
      <w:start w:val="1"/>
      <w:numFmt w:val="lowerLetter"/>
      <w:suff w:val="nothing"/>
      <w:lvlText w:val="%1）"/>
      <w:lvlJc w:val="left"/>
    </w:lvl>
  </w:abstractNum>
  <w:abstractNum w:abstractNumId="3">
    <w:nsid w:val="B7BE2FDB"/>
    <w:multiLevelType w:val="singleLevel"/>
    <w:tmpl w:val="B7BE2FDB"/>
    <w:lvl w:ilvl="0" w:tentative="0">
      <w:start w:val="1"/>
      <w:numFmt w:val="lowerLetter"/>
      <w:suff w:val="nothing"/>
      <w:lvlText w:val="%1）"/>
      <w:lvlJc w:val="left"/>
    </w:lvl>
  </w:abstractNum>
  <w:abstractNum w:abstractNumId="4">
    <w:nsid w:val="C4B88CC0"/>
    <w:multiLevelType w:val="singleLevel"/>
    <w:tmpl w:val="C4B88CC0"/>
    <w:lvl w:ilvl="0" w:tentative="0">
      <w:start w:val="1"/>
      <w:numFmt w:val="lowerLetter"/>
      <w:suff w:val="nothing"/>
      <w:lvlText w:val="%1）"/>
      <w:lvlJc w:val="left"/>
    </w:lvl>
  </w:abstractNum>
  <w:abstractNum w:abstractNumId="5">
    <w:nsid w:val="CC1AB5E7"/>
    <w:multiLevelType w:val="singleLevel"/>
    <w:tmpl w:val="CC1AB5E7"/>
    <w:lvl w:ilvl="0" w:tentative="0">
      <w:start w:val="1"/>
      <w:numFmt w:val="lowerLetter"/>
      <w:suff w:val="nothing"/>
      <w:lvlText w:val="%1）"/>
      <w:lvlJc w:val="left"/>
    </w:lvl>
  </w:abstractNum>
  <w:abstractNum w:abstractNumId="6">
    <w:nsid w:val="D051972C"/>
    <w:multiLevelType w:val="singleLevel"/>
    <w:tmpl w:val="D051972C"/>
    <w:lvl w:ilvl="0" w:tentative="0">
      <w:start w:val="1"/>
      <w:numFmt w:val="decimal"/>
      <w:suff w:val="nothing"/>
      <w:lvlText w:val="%1）"/>
      <w:lvlJc w:val="left"/>
    </w:lvl>
  </w:abstractNum>
  <w:abstractNum w:abstractNumId="7">
    <w:nsid w:val="EBF68411"/>
    <w:multiLevelType w:val="singleLevel"/>
    <w:tmpl w:val="EBF68411"/>
    <w:lvl w:ilvl="0" w:tentative="0">
      <w:start w:val="1"/>
      <w:numFmt w:val="lowerLetter"/>
      <w:suff w:val="nothing"/>
      <w:lvlText w:val="%1）"/>
      <w:lvlJc w:val="left"/>
    </w:lvl>
  </w:abstractNum>
  <w:abstractNum w:abstractNumId="8">
    <w:nsid w:val="F5CF27F1"/>
    <w:multiLevelType w:val="singleLevel"/>
    <w:tmpl w:val="F5CF27F1"/>
    <w:lvl w:ilvl="0" w:tentative="0">
      <w:start w:val="1"/>
      <w:numFmt w:val="decimal"/>
      <w:suff w:val="nothing"/>
      <w:lvlText w:val="%1）"/>
      <w:lvlJc w:val="left"/>
    </w:lvl>
  </w:abstractNum>
  <w:abstractNum w:abstractNumId="9">
    <w:nsid w:val="11744007"/>
    <w:multiLevelType w:val="singleLevel"/>
    <w:tmpl w:val="11744007"/>
    <w:lvl w:ilvl="0" w:tentative="0">
      <w:start w:val="1"/>
      <w:numFmt w:val="lowerLetter"/>
      <w:suff w:val="nothing"/>
      <w:lvlText w:val="%1）"/>
      <w:lvlJc w:val="left"/>
    </w:lvl>
  </w:abstractNum>
  <w:abstractNum w:abstractNumId="10">
    <w:nsid w:val="16BA7FAD"/>
    <w:multiLevelType w:val="multilevel"/>
    <w:tmpl w:val="16BA7FA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E07A72"/>
    <w:multiLevelType w:val="singleLevel"/>
    <w:tmpl w:val="18E07A72"/>
    <w:lvl w:ilvl="0" w:tentative="0">
      <w:start w:val="1"/>
      <w:numFmt w:val="lowerLetter"/>
      <w:suff w:val="nothing"/>
      <w:lvlText w:val="%1）"/>
      <w:lvlJc w:val="left"/>
    </w:lvl>
  </w:abstractNum>
  <w:abstractNum w:abstractNumId="12">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92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2268"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3">
    <w:nsid w:val="267E18AC"/>
    <w:multiLevelType w:val="singleLevel"/>
    <w:tmpl w:val="267E18AC"/>
    <w:lvl w:ilvl="0" w:tentative="0">
      <w:start w:val="1"/>
      <w:numFmt w:val="decimal"/>
      <w:suff w:val="nothing"/>
      <w:lvlText w:val="%1）"/>
      <w:lvlJc w:val="left"/>
    </w:lvl>
  </w:abstractNum>
  <w:abstractNum w:abstractNumId="14">
    <w:nsid w:val="330080F8"/>
    <w:multiLevelType w:val="singleLevel"/>
    <w:tmpl w:val="330080F8"/>
    <w:lvl w:ilvl="0" w:tentative="0">
      <w:start w:val="1"/>
      <w:numFmt w:val="lowerLetter"/>
      <w:suff w:val="nothing"/>
      <w:lvlText w:val="%1）"/>
      <w:lvlJc w:val="left"/>
    </w:lvl>
  </w:abstractNum>
  <w:abstractNum w:abstractNumId="15">
    <w:nsid w:val="3E1B5D8B"/>
    <w:multiLevelType w:val="singleLevel"/>
    <w:tmpl w:val="3E1B5D8B"/>
    <w:lvl w:ilvl="0" w:tentative="0">
      <w:start w:val="1"/>
      <w:numFmt w:val="lowerLetter"/>
      <w:suff w:val="nothing"/>
      <w:lvlText w:val="%1）"/>
      <w:lvlJc w:val="left"/>
    </w:lvl>
  </w:abstractNum>
  <w:abstractNum w:abstractNumId="16">
    <w:nsid w:val="410B1DF1"/>
    <w:multiLevelType w:val="singleLevel"/>
    <w:tmpl w:val="410B1DF1"/>
    <w:lvl w:ilvl="0" w:tentative="0">
      <w:start w:val="1"/>
      <w:numFmt w:val="lowerLetter"/>
      <w:suff w:val="nothing"/>
      <w:lvlText w:val="%1）"/>
      <w:lvlJc w:val="left"/>
    </w:lvl>
  </w:abstractNum>
  <w:abstractNum w:abstractNumId="17">
    <w:nsid w:val="45E053BE"/>
    <w:multiLevelType w:val="singleLevel"/>
    <w:tmpl w:val="45E053BE"/>
    <w:lvl w:ilvl="0" w:tentative="0">
      <w:start w:val="1"/>
      <w:numFmt w:val="lowerLetter"/>
      <w:suff w:val="nothing"/>
      <w:lvlText w:val="%1）"/>
      <w:lvlJc w:val="left"/>
    </w:lvl>
  </w:abstractNum>
  <w:abstractNum w:abstractNumId="18">
    <w:nsid w:val="657D3FBC"/>
    <w:multiLevelType w:val="multilevel"/>
    <w:tmpl w:val="657D3FBC"/>
    <w:lvl w:ilvl="0" w:tentative="0">
      <w:start w:val="1"/>
      <w:numFmt w:val="upperLetter"/>
      <w:pStyle w:val="3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0"/>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pStyle w:val="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6E5FB201"/>
    <w:multiLevelType w:val="singleLevel"/>
    <w:tmpl w:val="6E5FB201"/>
    <w:lvl w:ilvl="0" w:tentative="0">
      <w:start w:val="1"/>
      <w:numFmt w:val="lowerLetter"/>
      <w:suff w:val="nothing"/>
      <w:lvlText w:val="%1）"/>
      <w:lvlJc w:val="left"/>
    </w:lvl>
  </w:abstractNum>
  <w:abstractNum w:abstractNumId="20">
    <w:nsid w:val="72491B99"/>
    <w:multiLevelType w:val="multilevel"/>
    <w:tmpl w:val="72491B9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4"/>
      <w:suff w:val="space"/>
      <w:lvlText w:val="%1.%2.%3"/>
      <w:lvlJc w:val="left"/>
      <w:pPr>
        <w:ind w:left="2553" w:firstLine="0"/>
      </w:pPr>
      <w:rPr>
        <w:rFonts w:hint="eastAsia" w:ascii="黑体" w:hAnsi="黑体" w:eastAsia="黑体"/>
      </w:rPr>
    </w:lvl>
    <w:lvl w:ilvl="3" w:tentative="0">
      <w:start w:val="1"/>
      <w:numFmt w:val="decimal"/>
      <w:pStyle w:val="5"/>
      <w:suff w:val="space"/>
      <w:lvlText w:val="%1.%2.%3.%4"/>
      <w:lvlJc w:val="left"/>
      <w:pPr>
        <w:ind w:left="0" w:firstLine="0"/>
      </w:pPr>
      <w:rPr>
        <w:rFonts w:hint="eastAsia" w:ascii="黑体" w:hAnsi="黑体" w:eastAsia="黑体"/>
      </w:rPr>
    </w:lvl>
    <w:lvl w:ilvl="4" w:tentative="0">
      <w:start w:val="1"/>
      <w:numFmt w:val="decimal"/>
      <w:suff w:val="space"/>
      <w:lvlText w:val="%1.%2.%3.%4.%5"/>
      <w:lvlJc w:val="left"/>
      <w:pPr>
        <w:ind w:left="0" w:firstLine="0"/>
      </w:pPr>
      <w:rPr>
        <w:rFonts w:hint="eastAsia" w:ascii="黑体" w:hAnsi="黑体" w:eastAsia="黑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2"/>
  </w:num>
  <w:num w:numId="8">
    <w:abstractNumId w:val="8"/>
  </w:num>
  <w:num w:numId="9">
    <w:abstractNumId w:val="4"/>
  </w:num>
  <w:num w:numId="10">
    <w:abstractNumId w:val="15"/>
  </w:num>
  <w:num w:numId="11">
    <w:abstractNumId w:val="13"/>
  </w:num>
  <w:num w:numId="12">
    <w:abstractNumId w:val="0"/>
  </w:num>
  <w:num w:numId="13">
    <w:abstractNumId w:val="9"/>
  </w:num>
  <w:num w:numId="14">
    <w:abstractNumId w:val="6"/>
  </w:num>
  <w:num w:numId="15">
    <w:abstractNumId w:val="11"/>
  </w:num>
  <w:num w:numId="16">
    <w:abstractNumId w:val="17"/>
  </w:num>
  <w:num w:numId="17">
    <w:abstractNumId w:val="1"/>
  </w:num>
  <w:num w:numId="18">
    <w:abstractNumId w:val="14"/>
  </w:num>
  <w:num w:numId="19">
    <w:abstractNumId w:val="16"/>
  </w:num>
  <w:num w:numId="20">
    <w:abstractNumId w:val="19"/>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NWVlZDYzZDUwMjMzNmMyODk2NzRlYTAxNTM4MDYifQ=="/>
  </w:docVars>
  <w:rsids>
    <w:rsidRoot w:val="04850BCF"/>
    <w:rsid w:val="000049A6"/>
    <w:rsid w:val="00023A12"/>
    <w:rsid w:val="00030D5E"/>
    <w:rsid w:val="000342FA"/>
    <w:rsid w:val="000456F1"/>
    <w:rsid w:val="000646AE"/>
    <w:rsid w:val="00067C5D"/>
    <w:rsid w:val="000E3104"/>
    <w:rsid w:val="000F7B4A"/>
    <w:rsid w:val="00102307"/>
    <w:rsid w:val="0011477E"/>
    <w:rsid w:val="00124278"/>
    <w:rsid w:val="00175582"/>
    <w:rsid w:val="001A19C4"/>
    <w:rsid w:val="001C177E"/>
    <w:rsid w:val="001D44CA"/>
    <w:rsid w:val="001F2942"/>
    <w:rsid w:val="00204001"/>
    <w:rsid w:val="00230A9E"/>
    <w:rsid w:val="00254312"/>
    <w:rsid w:val="00297FB7"/>
    <w:rsid w:val="002C5F05"/>
    <w:rsid w:val="002D0C60"/>
    <w:rsid w:val="002F2B3A"/>
    <w:rsid w:val="002F69F7"/>
    <w:rsid w:val="00320BD7"/>
    <w:rsid w:val="00336F40"/>
    <w:rsid w:val="003721DD"/>
    <w:rsid w:val="003B7EF2"/>
    <w:rsid w:val="003C3DEC"/>
    <w:rsid w:val="003E76BB"/>
    <w:rsid w:val="004115D3"/>
    <w:rsid w:val="004274F5"/>
    <w:rsid w:val="0043446B"/>
    <w:rsid w:val="00446C91"/>
    <w:rsid w:val="00475119"/>
    <w:rsid w:val="00476158"/>
    <w:rsid w:val="00476205"/>
    <w:rsid w:val="00481247"/>
    <w:rsid w:val="004C32A8"/>
    <w:rsid w:val="0053271F"/>
    <w:rsid w:val="00537795"/>
    <w:rsid w:val="005409CB"/>
    <w:rsid w:val="00561F39"/>
    <w:rsid w:val="005656BE"/>
    <w:rsid w:val="00635435"/>
    <w:rsid w:val="006533EB"/>
    <w:rsid w:val="006710D0"/>
    <w:rsid w:val="006C6C92"/>
    <w:rsid w:val="006E575C"/>
    <w:rsid w:val="007044FF"/>
    <w:rsid w:val="00722C52"/>
    <w:rsid w:val="00775483"/>
    <w:rsid w:val="00786357"/>
    <w:rsid w:val="007A038C"/>
    <w:rsid w:val="007B051C"/>
    <w:rsid w:val="007C7BD4"/>
    <w:rsid w:val="00837ACE"/>
    <w:rsid w:val="00842083"/>
    <w:rsid w:val="00850510"/>
    <w:rsid w:val="008622A7"/>
    <w:rsid w:val="008D3932"/>
    <w:rsid w:val="00903322"/>
    <w:rsid w:val="00942C85"/>
    <w:rsid w:val="00980D6E"/>
    <w:rsid w:val="009862D0"/>
    <w:rsid w:val="009870BF"/>
    <w:rsid w:val="009A5489"/>
    <w:rsid w:val="009B25F6"/>
    <w:rsid w:val="009E03A7"/>
    <w:rsid w:val="00A10529"/>
    <w:rsid w:val="00A12397"/>
    <w:rsid w:val="00A16AA3"/>
    <w:rsid w:val="00A20179"/>
    <w:rsid w:val="00A3458D"/>
    <w:rsid w:val="00AD2542"/>
    <w:rsid w:val="00AD4BB5"/>
    <w:rsid w:val="00B05C85"/>
    <w:rsid w:val="00B319A6"/>
    <w:rsid w:val="00B356DD"/>
    <w:rsid w:val="00B86D20"/>
    <w:rsid w:val="00BA64B3"/>
    <w:rsid w:val="00BD4E99"/>
    <w:rsid w:val="00BD66A6"/>
    <w:rsid w:val="00C071B5"/>
    <w:rsid w:val="00C10C5A"/>
    <w:rsid w:val="00C6429F"/>
    <w:rsid w:val="00C67C5D"/>
    <w:rsid w:val="00C84C1D"/>
    <w:rsid w:val="00CA0E86"/>
    <w:rsid w:val="00CB49CC"/>
    <w:rsid w:val="00CD072E"/>
    <w:rsid w:val="00CE6A12"/>
    <w:rsid w:val="00D26907"/>
    <w:rsid w:val="00D50512"/>
    <w:rsid w:val="00D52184"/>
    <w:rsid w:val="00D53435"/>
    <w:rsid w:val="00D63EBF"/>
    <w:rsid w:val="00D771D0"/>
    <w:rsid w:val="00DB792C"/>
    <w:rsid w:val="00DC3E65"/>
    <w:rsid w:val="00DE67AB"/>
    <w:rsid w:val="00E2664E"/>
    <w:rsid w:val="00E34B02"/>
    <w:rsid w:val="00E77A60"/>
    <w:rsid w:val="00EB5507"/>
    <w:rsid w:val="00EC3959"/>
    <w:rsid w:val="00ED4B4C"/>
    <w:rsid w:val="00EE1744"/>
    <w:rsid w:val="00EE17E6"/>
    <w:rsid w:val="00F25055"/>
    <w:rsid w:val="00F76B10"/>
    <w:rsid w:val="00F923B7"/>
    <w:rsid w:val="00FA6A7B"/>
    <w:rsid w:val="00FB28CE"/>
    <w:rsid w:val="02F53F3A"/>
    <w:rsid w:val="02FE3E7B"/>
    <w:rsid w:val="032246A9"/>
    <w:rsid w:val="03546191"/>
    <w:rsid w:val="03CC29E9"/>
    <w:rsid w:val="04291F55"/>
    <w:rsid w:val="04850BCF"/>
    <w:rsid w:val="04A24CDA"/>
    <w:rsid w:val="09446B26"/>
    <w:rsid w:val="095C5D9F"/>
    <w:rsid w:val="095F13EB"/>
    <w:rsid w:val="0A4F1460"/>
    <w:rsid w:val="0AD81455"/>
    <w:rsid w:val="0C0707D9"/>
    <w:rsid w:val="0D4E59FF"/>
    <w:rsid w:val="0E1A3B33"/>
    <w:rsid w:val="0E960C90"/>
    <w:rsid w:val="0FB12275"/>
    <w:rsid w:val="10AA73F0"/>
    <w:rsid w:val="10B97633"/>
    <w:rsid w:val="12863E8D"/>
    <w:rsid w:val="151E03AD"/>
    <w:rsid w:val="155B7D14"/>
    <w:rsid w:val="156A2797"/>
    <w:rsid w:val="17CA481C"/>
    <w:rsid w:val="18075128"/>
    <w:rsid w:val="18A312F5"/>
    <w:rsid w:val="19324E98"/>
    <w:rsid w:val="19D13C3F"/>
    <w:rsid w:val="1C821221"/>
    <w:rsid w:val="1CC45CDD"/>
    <w:rsid w:val="1D3369BF"/>
    <w:rsid w:val="1E1D536E"/>
    <w:rsid w:val="1F3C7DAD"/>
    <w:rsid w:val="209B0B03"/>
    <w:rsid w:val="20CC5161"/>
    <w:rsid w:val="21090163"/>
    <w:rsid w:val="231D7EF5"/>
    <w:rsid w:val="25D80104"/>
    <w:rsid w:val="28433F5A"/>
    <w:rsid w:val="2CDC2BCF"/>
    <w:rsid w:val="2CFE08BF"/>
    <w:rsid w:val="2FC11C09"/>
    <w:rsid w:val="328533C1"/>
    <w:rsid w:val="32E26A66"/>
    <w:rsid w:val="34806536"/>
    <w:rsid w:val="34FA0D23"/>
    <w:rsid w:val="35AD5109"/>
    <w:rsid w:val="379B4333"/>
    <w:rsid w:val="37D20F25"/>
    <w:rsid w:val="37DC3A83"/>
    <w:rsid w:val="382A2A41"/>
    <w:rsid w:val="3A3E27D3"/>
    <w:rsid w:val="3AA73D8B"/>
    <w:rsid w:val="3B392F9B"/>
    <w:rsid w:val="3C2D2B00"/>
    <w:rsid w:val="3C81109D"/>
    <w:rsid w:val="3DF633C5"/>
    <w:rsid w:val="3F4A2D0C"/>
    <w:rsid w:val="3FDD65EB"/>
    <w:rsid w:val="406951B1"/>
    <w:rsid w:val="407A208B"/>
    <w:rsid w:val="40864ED4"/>
    <w:rsid w:val="42024A2E"/>
    <w:rsid w:val="420F2E9B"/>
    <w:rsid w:val="423746D8"/>
    <w:rsid w:val="42DA32B5"/>
    <w:rsid w:val="46DA3884"/>
    <w:rsid w:val="471836B3"/>
    <w:rsid w:val="488E2B78"/>
    <w:rsid w:val="4A9621B8"/>
    <w:rsid w:val="4CB93F3C"/>
    <w:rsid w:val="4D983602"/>
    <w:rsid w:val="4E181248"/>
    <w:rsid w:val="4EAF3848"/>
    <w:rsid w:val="4F2935FA"/>
    <w:rsid w:val="50A67EB5"/>
    <w:rsid w:val="51FE0D6E"/>
    <w:rsid w:val="54106BBB"/>
    <w:rsid w:val="549332C4"/>
    <w:rsid w:val="549A0AF6"/>
    <w:rsid w:val="55110DB9"/>
    <w:rsid w:val="55676612"/>
    <w:rsid w:val="55AA4D69"/>
    <w:rsid w:val="572648C3"/>
    <w:rsid w:val="5806097D"/>
    <w:rsid w:val="58D00F8B"/>
    <w:rsid w:val="597731B4"/>
    <w:rsid w:val="5DFC74A0"/>
    <w:rsid w:val="5ED66BCF"/>
    <w:rsid w:val="600F05EB"/>
    <w:rsid w:val="603911C4"/>
    <w:rsid w:val="62DC51F4"/>
    <w:rsid w:val="63E1229E"/>
    <w:rsid w:val="644201CC"/>
    <w:rsid w:val="64B90B25"/>
    <w:rsid w:val="64C33752"/>
    <w:rsid w:val="661E3335"/>
    <w:rsid w:val="66E7097A"/>
    <w:rsid w:val="6753700F"/>
    <w:rsid w:val="68060525"/>
    <w:rsid w:val="68792AA5"/>
    <w:rsid w:val="69232A11"/>
    <w:rsid w:val="69450BD9"/>
    <w:rsid w:val="6AE461D0"/>
    <w:rsid w:val="6C3118E9"/>
    <w:rsid w:val="6D156B14"/>
    <w:rsid w:val="6D535020"/>
    <w:rsid w:val="6DCD73EF"/>
    <w:rsid w:val="6F433E0D"/>
    <w:rsid w:val="718906BB"/>
    <w:rsid w:val="741C69DA"/>
    <w:rsid w:val="74477EFB"/>
    <w:rsid w:val="75575F1C"/>
    <w:rsid w:val="75BB7F46"/>
    <w:rsid w:val="7601232C"/>
    <w:rsid w:val="77882D05"/>
    <w:rsid w:val="786077DD"/>
    <w:rsid w:val="7A523156"/>
    <w:rsid w:val="7AC53928"/>
    <w:rsid w:val="7BBD4F47"/>
    <w:rsid w:val="7FB73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4"/>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9"/>
    <w:pPr>
      <w:keepNext/>
      <w:keepLines/>
      <w:numPr>
        <w:ilvl w:val="2"/>
        <w:numId w:val="1"/>
      </w:numPr>
      <w:spacing w:line="360" w:lineRule="auto"/>
      <w:outlineLvl w:val="2"/>
    </w:pPr>
    <w:rPr>
      <w:rFonts w:eastAsia="黑体"/>
      <w:bCs/>
      <w:szCs w:val="32"/>
    </w:rPr>
  </w:style>
  <w:style w:type="paragraph" w:styleId="5">
    <w:name w:val="heading 4"/>
    <w:basedOn w:val="1"/>
    <w:next w:val="1"/>
    <w:unhideWhenUsed/>
    <w:qFormat/>
    <w:uiPriority w:val="9"/>
    <w:pPr>
      <w:keepNext/>
      <w:keepLines/>
      <w:numPr>
        <w:ilvl w:val="3"/>
        <w:numId w:val="1"/>
      </w:numPr>
      <w:spacing w:line="360" w:lineRule="auto"/>
      <w:outlineLvl w:val="3"/>
    </w:pPr>
    <w:rPr>
      <w:rFonts w:eastAsia="黑体" w:asciiTheme="majorHAnsi" w:hAnsiTheme="majorHAnsi" w:cstheme="majorBidi"/>
      <w:bCs/>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w:basedOn w:val="1"/>
    <w:link w:val="24"/>
    <w:qFormat/>
    <w:uiPriority w:val="1"/>
    <w:pPr>
      <w:autoSpaceDE w:val="0"/>
      <w:autoSpaceDN w:val="0"/>
      <w:jc w:val="left"/>
    </w:pPr>
    <w:rPr>
      <w:rFonts w:ascii="宋体" w:hAnsi="宋体" w:cs="宋体"/>
      <w:kern w:val="0"/>
      <w:szCs w:val="21"/>
      <w:lang w:eastAsia="en-US"/>
    </w:rPr>
  </w:style>
  <w:style w:type="paragraph" w:styleId="7">
    <w:name w:val="Balloon Text"/>
    <w:basedOn w:val="1"/>
    <w:link w:val="46"/>
    <w:uiPriority w:val="0"/>
    <w:rPr>
      <w:sz w:val="18"/>
      <w:szCs w:val="18"/>
    </w:rPr>
  </w:style>
  <w:style w:type="paragraph" w:styleId="8">
    <w:name w:val="footer"/>
    <w:basedOn w:val="1"/>
    <w:link w:val="23"/>
    <w:autoRedefine/>
    <w:qFormat/>
    <w:uiPriority w:val="99"/>
    <w:pPr>
      <w:widowControl/>
      <w:tabs>
        <w:tab w:val="center" w:pos="4153"/>
        <w:tab w:val="right" w:pos="8306"/>
      </w:tabs>
      <w:snapToGrid w:val="0"/>
      <w:jc w:val="left"/>
    </w:pPr>
    <w:rPr>
      <w:kern w:val="0"/>
      <w:sz w:val="18"/>
      <w:szCs w:val="20"/>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heme="minorHAnsi" w:hAnsiTheme="minorHAnsi" w:eastAsiaTheme="minorEastAsia" w:cstheme="minorBidi"/>
      <w:szCs w:val="22"/>
    </w:rPr>
  </w:style>
  <w:style w:type="paragraph" w:styleId="11">
    <w:name w:val="toc 2"/>
    <w:basedOn w:val="1"/>
    <w:next w:val="1"/>
    <w:unhideWhenUsed/>
    <w:qFormat/>
    <w:uiPriority w:val="39"/>
    <w:pPr>
      <w:tabs>
        <w:tab w:val="right" w:leader="dot" w:pos="8296"/>
      </w:tabs>
      <w:ind w:left="420" w:leftChars="200"/>
    </w:pPr>
    <w:rPr>
      <w:rFonts w:asciiTheme="minorHAnsi" w:hAnsiTheme="minorHAnsi" w:eastAsiaTheme="minorEastAsia" w:cstheme="minorBidi"/>
      <w:szCs w:val="22"/>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qFormat/>
    <w:uiPriority w:val="0"/>
    <w:rPr>
      <w:color w:val="800080"/>
      <w:u w:val="single"/>
    </w:rPr>
  </w:style>
  <w:style w:type="character" w:styleId="19">
    <w:name w:val="Emphasis"/>
    <w:basedOn w:val="15"/>
    <w:autoRedefine/>
    <w:qFormat/>
    <w:uiPriority w:val="0"/>
    <w:rPr>
      <w:i/>
    </w:rPr>
  </w:style>
  <w:style w:type="character" w:styleId="20">
    <w:name w:val="Hyperlink"/>
    <w:basedOn w:val="15"/>
    <w:autoRedefine/>
    <w:qFormat/>
    <w:uiPriority w:val="99"/>
    <w:rPr>
      <w:color w:val="0000FF"/>
      <w:u w:val="single"/>
    </w:rPr>
  </w:style>
  <w:style w:type="character" w:customStyle="1" w:styleId="21">
    <w:name w:val="页眉 字符"/>
    <w:basedOn w:val="15"/>
    <w:link w:val="9"/>
    <w:autoRedefine/>
    <w:qFormat/>
    <w:uiPriority w:val="99"/>
    <w:rPr>
      <w:kern w:val="2"/>
      <w:sz w:val="18"/>
      <w:szCs w:val="18"/>
    </w:rPr>
  </w:style>
  <w:style w:type="paragraph" w:styleId="22">
    <w:name w:val="List Paragraph"/>
    <w:basedOn w:val="1"/>
    <w:autoRedefine/>
    <w:qFormat/>
    <w:uiPriority w:val="34"/>
    <w:pPr>
      <w:ind w:firstLine="420" w:firstLineChars="200"/>
    </w:pPr>
  </w:style>
  <w:style w:type="character" w:customStyle="1" w:styleId="23">
    <w:name w:val="页脚 字符"/>
    <w:basedOn w:val="15"/>
    <w:link w:val="8"/>
    <w:autoRedefine/>
    <w:qFormat/>
    <w:uiPriority w:val="99"/>
    <w:rPr>
      <w:sz w:val="18"/>
    </w:rPr>
  </w:style>
  <w:style w:type="character" w:customStyle="1" w:styleId="24">
    <w:name w:val="正文文本 字符"/>
    <w:basedOn w:val="15"/>
    <w:link w:val="6"/>
    <w:autoRedefine/>
    <w:qFormat/>
    <w:uiPriority w:val="1"/>
    <w:rPr>
      <w:rFonts w:ascii="宋体" w:hAnsi="宋体" w:cs="宋体"/>
      <w:sz w:val="21"/>
      <w:szCs w:val="21"/>
      <w:lang w:eastAsia="en-US"/>
    </w:rPr>
  </w:style>
  <w:style w:type="paragraph" w:customStyle="1" w:styleId="25">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26">
    <w:name w:val="段 Char"/>
    <w:link w:val="27"/>
    <w:autoRedefine/>
    <w:qFormat/>
    <w:locked/>
    <w:uiPriority w:val="0"/>
    <w:rPr>
      <w:rFonts w:ascii="宋体" w:hAnsi="宋体"/>
      <w:sz w:val="21"/>
      <w:szCs w:val="22"/>
    </w:rPr>
  </w:style>
  <w:style w:type="paragraph" w:customStyle="1" w:styleId="27">
    <w:name w:val="段"/>
    <w:link w:val="26"/>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szCs w:val="22"/>
      <w:lang w:val="en-US" w:eastAsia="zh-CN" w:bidi="ar-SA"/>
    </w:rPr>
  </w:style>
  <w:style w:type="paragraph" w:customStyle="1" w:styleId="28">
    <w:name w:val="一级条标题"/>
    <w:next w:val="27"/>
    <w:autoRedefine/>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9">
    <w:name w:val="章标题"/>
    <w:next w:val="27"/>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27"/>
    <w:autoRedefine/>
    <w:qFormat/>
    <w:uiPriority w:val="0"/>
    <w:pPr>
      <w:numPr>
        <w:ilvl w:val="2"/>
      </w:numPr>
      <w:ind w:left="0"/>
      <w:outlineLvl w:val="3"/>
    </w:pPr>
  </w:style>
  <w:style w:type="paragraph" w:customStyle="1" w:styleId="31">
    <w:name w:val="三级条标题"/>
    <w:basedOn w:val="30"/>
    <w:next w:val="27"/>
    <w:autoRedefine/>
    <w:qFormat/>
    <w:uiPriority w:val="0"/>
    <w:pPr>
      <w:numPr>
        <w:ilvl w:val="3"/>
      </w:numPr>
      <w:outlineLvl w:val="4"/>
    </w:pPr>
  </w:style>
  <w:style w:type="paragraph" w:customStyle="1" w:styleId="32">
    <w:name w:val="四级条标题"/>
    <w:basedOn w:val="31"/>
    <w:next w:val="27"/>
    <w:autoRedefine/>
    <w:qFormat/>
    <w:uiPriority w:val="0"/>
    <w:pPr>
      <w:numPr>
        <w:ilvl w:val="4"/>
      </w:numPr>
      <w:outlineLvl w:val="5"/>
    </w:pPr>
  </w:style>
  <w:style w:type="paragraph" w:customStyle="1" w:styleId="33">
    <w:name w:val="五级条标题"/>
    <w:basedOn w:val="32"/>
    <w:next w:val="27"/>
    <w:autoRedefine/>
    <w:qFormat/>
    <w:uiPriority w:val="0"/>
    <w:pPr>
      <w:numPr>
        <w:ilvl w:val="5"/>
      </w:numPr>
      <w:outlineLvl w:val="6"/>
    </w:pPr>
  </w:style>
  <w:style w:type="paragraph" w:customStyle="1" w:styleId="34">
    <w:name w:val="附录标识"/>
    <w:basedOn w:val="1"/>
    <w:next w:val="27"/>
    <w:autoRedefine/>
    <w:qFormat/>
    <w:uiPriority w:val="0"/>
    <w:pPr>
      <w:keepNext/>
      <w:widowControl/>
      <w:numPr>
        <w:ilvl w:val="0"/>
        <w:numId w:val="3"/>
      </w:numPr>
      <w:shd w:val="clear" w:color="auto" w:fill="FFFFFF"/>
      <w:tabs>
        <w:tab w:val="left" w:pos="6405"/>
      </w:tabs>
      <w:spacing w:before="640" w:after="280"/>
      <w:jc w:val="center"/>
      <w:outlineLvl w:val="0"/>
    </w:pPr>
    <w:rPr>
      <w:rFonts w:ascii="黑体" w:eastAsia="黑体"/>
      <w:kern w:val="0"/>
      <w:szCs w:val="20"/>
    </w:rPr>
  </w:style>
  <w:style w:type="paragraph" w:customStyle="1" w:styleId="35">
    <w:name w:val="附录表标题"/>
    <w:basedOn w:val="1"/>
    <w:next w:val="27"/>
    <w:autoRedefine/>
    <w:qFormat/>
    <w:uiPriority w:val="0"/>
    <w:pPr>
      <w:tabs>
        <w:tab w:val="left" w:pos="0"/>
      </w:tabs>
      <w:spacing w:beforeLines="50" w:afterLines="50"/>
      <w:jc w:val="center"/>
    </w:pPr>
    <w:rPr>
      <w:rFonts w:ascii="黑体" w:eastAsia="黑体"/>
      <w:szCs w:val="21"/>
    </w:rPr>
  </w:style>
  <w:style w:type="paragraph" w:customStyle="1" w:styleId="36">
    <w:name w:val="附录二级条标题"/>
    <w:basedOn w:val="1"/>
    <w:next w:val="27"/>
    <w:autoRedefine/>
    <w:qFormat/>
    <w:uiPriority w:val="0"/>
    <w:pPr>
      <w:widowControl/>
      <w:numPr>
        <w:ilvl w:val="3"/>
        <w:numId w:val="3"/>
      </w:numPr>
      <w:tabs>
        <w:tab w:val="left" w:pos="360"/>
      </w:tabs>
      <w:wordWrap w:val="0"/>
      <w:overflowPunct w:val="0"/>
      <w:autoSpaceDE w:val="0"/>
      <w:autoSpaceDN w:val="0"/>
      <w:spacing w:beforeLines="50" w:afterLines="50"/>
      <w:outlineLvl w:val="3"/>
    </w:pPr>
    <w:rPr>
      <w:rFonts w:ascii="黑体" w:eastAsia="黑体"/>
      <w:kern w:val="21"/>
      <w:szCs w:val="20"/>
    </w:rPr>
  </w:style>
  <w:style w:type="paragraph" w:customStyle="1" w:styleId="37">
    <w:name w:val="附录三级条标题"/>
    <w:basedOn w:val="36"/>
    <w:next w:val="27"/>
    <w:autoRedefine/>
    <w:qFormat/>
    <w:uiPriority w:val="0"/>
    <w:pPr>
      <w:numPr>
        <w:ilvl w:val="4"/>
      </w:numPr>
      <w:outlineLvl w:val="4"/>
    </w:pPr>
  </w:style>
  <w:style w:type="paragraph" w:customStyle="1" w:styleId="38">
    <w:name w:val="附录四级条标题"/>
    <w:basedOn w:val="37"/>
    <w:next w:val="27"/>
    <w:autoRedefine/>
    <w:qFormat/>
    <w:uiPriority w:val="0"/>
    <w:pPr>
      <w:numPr>
        <w:ilvl w:val="5"/>
      </w:numPr>
      <w:outlineLvl w:val="5"/>
    </w:pPr>
  </w:style>
  <w:style w:type="paragraph" w:customStyle="1" w:styleId="39">
    <w:name w:val="附录五级条标题"/>
    <w:basedOn w:val="38"/>
    <w:next w:val="27"/>
    <w:autoRedefine/>
    <w:qFormat/>
    <w:uiPriority w:val="0"/>
    <w:pPr>
      <w:numPr>
        <w:ilvl w:val="6"/>
      </w:numPr>
      <w:outlineLvl w:val="6"/>
    </w:pPr>
  </w:style>
  <w:style w:type="paragraph" w:customStyle="1" w:styleId="40">
    <w:name w:val="附录章标题"/>
    <w:next w:val="27"/>
    <w:autoRedefine/>
    <w:qFormat/>
    <w:uiPriority w:val="0"/>
    <w:pPr>
      <w:numPr>
        <w:ilvl w:val="1"/>
        <w:numId w:val="3"/>
      </w:num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41">
    <w:name w:val="附录一级条标题"/>
    <w:basedOn w:val="40"/>
    <w:next w:val="27"/>
    <w:autoRedefine/>
    <w:qFormat/>
    <w:uiPriority w:val="0"/>
    <w:pPr>
      <w:numPr>
        <w:ilvl w:val="2"/>
      </w:numPr>
      <w:autoSpaceDN w:val="0"/>
      <w:spacing w:beforeLines="50" w:afterLines="50"/>
      <w:outlineLvl w:val="2"/>
    </w:pPr>
  </w:style>
  <w:style w:type="paragraph" w:customStyle="1" w:styleId="42">
    <w:name w:val="二级无"/>
    <w:basedOn w:val="30"/>
    <w:autoRedefine/>
    <w:qFormat/>
    <w:uiPriority w:val="0"/>
    <w:pPr>
      <w:spacing w:before="50" w:beforeLines="0" w:after="50" w:afterLines="0"/>
    </w:pPr>
    <w:rPr>
      <w:rFonts w:ascii="宋体" w:eastAsia="宋体"/>
    </w:rPr>
  </w:style>
  <w:style w:type="paragraph" w:customStyle="1" w:styleId="4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批注框文本 字符"/>
    <w:basedOn w:val="15"/>
    <w:link w:val="7"/>
    <w:autoRedefine/>
    <w:qFormat/>
    <w:uiPriority w:val="0"/>
    <w:rPr>
      <w:kern w:val="2"/>
      <w:sz w:val="18"/>
      <w:szCs w:val="18"/>
    </w:rPr>
  </w:style>
  <w:style w:type="paragraph" w:customStyle="1" w:styleId="4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icc\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117A0-2846-46FB-BF4A-0AF232BF3AC1}">
  <ds:schemaRefs/>
</ds:datastoreItem>
</file>

<file path=docProps/app.xml><?xml version="1.0" encoding="utf-8"?>
<Properties xmlns="http://schemas.openxmlformats.org/officeDocument/2006/extended-properties" xmlns:vt="http://schemas.openxmlformats.org/officeDocument/2006/docPropsVTypes">
  <Template>0</Template>
  <Company>Lenovo</Company>
  <Pages>1</Pages>
  <Words>942</Words>
  <Characters>5372</Characters>
  <Lines>44</Lines>
  <Paragraphs>12</Paragraphs>
  <TotalTime>12</TotalTime>
  <ScaleCrop>false</ScaleCrop>
  <LinksUpToDate>false</LinksUpToDate>
  <CharactersWithSpaces>6302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2023-11-21T11:42:00Z</dcterms:created>
  <dc:creator>周帆</dc:creator>
  <cp:lastModifiedBy>随心</cp:lastModifiedBy>
  <cp:lastPrinted>2023-05-05T07:06:00Z</cp:lastPrinted>
  <dcterms:modified xsi:type="dcterms:W3CDTF">2024-01-04T01:14:20Z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2A88E265A32B44B1B7DAEC87F8FAFACA</vt:lpwstr>
  </property>
</Properties>
</file>